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3D" w:rsidRPr="00AF6A9C" w:rsidRDefault="00FC17B6" w:rsidP="00291CCD">
      <w:pPr>
        <w:pStyle w:val="Title"/>
        <w:tabs>
          <w:tab w:val="right" w:pos="10800"/>
        </w:tabs>
        <w:spacing w:after="240"/>
        <w:jc w:val="both"/>
        <w:rPr>
          <w:b/>
          <w:sz w:val="36"/>
          <w:szCs w:val="36"/>
          <w:lang w:val="es-ES"/>
        </w:rPr>
      </w:pPr>
      <w:r w:rsidRPr="004A5040">
        <w:rPr>
          <w:b/>
          <w:i/>
          <w:noProof/>
          <w:sz w:val="40"/>
          <w:szCs w:val="40"/>
        </w:rPr>
        <mc:AlternateContent>
          <mc:Choice Requires="wps">
            <w:drawing>
              <wp:anchor distT="0" distB="0" distL="228600" distR="114300" simplePos="0" relativeHeight="251659264" behindDoc="1" locked="0" layoutInCell="1" allowOverlap="1" wp14:anchorId="57AED31E" wp14:editId="68E5F82B">
                <wp:simplePos x="0" y="0"/>
                <wp:positionH relativeFrom="column">
                  <wp:posOffset>-77470</wp:posOffset>
                </wp:positionH>
                <wp:positionV relativeFrom="paragraph">
                  <wp:posOffset>433070</wp:posOffset>
                </wp:positionV>
                <wp:extent cx="7004050" cy="1785620"/>
                <wp:effectExtent l="0" t="0" r="2540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0" cy="17856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5C4D" w:rsidRPr="006E5948" w:rsidRDefault="00E85C4D" w:rsidP="002D013D">
                            <w:pPr>
                              <w:pStyle w:val="ListParagraph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6E5948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5C4D" w:rsidRDefault="00E85C4D" w:rsidP="002D013D">
                            <w:pPr>
                              <w:jc w:val="both"/>
                            </w:pPr>
                          </w:p>
                          <w:p w:rsidR="0017043B" w:rsidRDefault="0017043B" w:rsidP="002D013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1pt;margin-top:34.1pt;width:551.5pt;height:140.6pt;z-index:-251657216;visibility:visible;mso-wrap-style:square;mso-width-percent:0;mso-height-percent:0;mso-wrap-distance-left:18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" strokecolor="#1f497d [3215]" strokeweight="1pt">
                <v:fill color2="#b8cce4 [1300]" rotate="t" focus="100%" type="gradientRadial">
                  <o:fill v:ext="view" type="gradientCenter"/>
                </v:fill>
                <v:textbox inset=",7.2pt,,7.2pt">
                  <w:txbxContent>
                    <w:p w:rsidR="00E85C4D" w:rsidRPr="006E5948" w:rsidRDefault="00E85C4D" w:rsidP="002D013D">
                      <w:pPr>
                        <w:pStyle w:val="ListParagraph"/>
                        <w:jc w:val="both"/>
                        <w:rPr>
                          <w:i/>
                          <w:sz w:val="24"/>
                          <w:szCs w:val="24"/>
                        </w:rPr>
                      </w:pPr>
                      <w:r w:rsidRPr="006E5948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5C4D" w:rsidRDefault="00E85C4D" w:rsidP="002D013D">
                      <w:pPr>
                        <w:jc w:val="both"/>
                      </w:pPr>
                    </w:p>
                    <w:p w:rsidR="0017043B" w:rsidRDefault="0017043B" w:rsidP="002D013D"/>
                  </w:txbxContent>
                </v:textbox>
              </v:shape>
            </w:pict>
          </mc:Fallback>
        </mc:AlternateContent>
      </w:r>
      <w:r w:rsidR="00A62C76" w:rsidRPr="00AF6A9C">
        <w:rPr>
          <w:b/>
          <w:sz w:val="36"/>
          <w:szCs w:val="36"/>
          <w:lang w:val="es-ES"/>
        </w:rPr>
        <w:t>Jefe del sector</w:t>
      </w:r>
      <w:r w:rsidR="00AF6A9C" w:rsidRPr="00AF6A9C">
        <w:rPr>
          <w:b/>
          <w:sz w:val="36"/>
          <w:szCs w:val="36"/>
          <w:lang w:val="es-ES"/>
        </w:rPr>
        <w:t xml:space="preserve"> </w:t>
      </w:r>
      <w:r w:rsidR="00EC288F">
        <w:rPr>
          <w:b/>
          <w:sz w:val="36"/>
          <w:szCs w:val="36"/>
          <w:lang w:val="es-ES"/>
        </w:rPr>
        <w:t>Energético</w:t>
      </w:r>
      <w:r w:rsidR="002D013D" w:rsidRPr="00AF6A9C">
        <w:rPr>
          <w:b/>
          <w:sz w:val="36"/>
          <w:szCs w:val="36"/>
          <w:lang w:val="es-ES"/>
        </w:rPr>
        <w:t xml:space="preserve">: Roles </w:t>
      </w:r>
      <w:r w:rsidR="00A62C76" w:rsidRPr="00AF6A9C">
        <w:rPr>
          <w:b/>
          <w:sz w:val="36"/>
          <w:szCs w:val="36"/>
          <w:lang w:val="es-ES"/>
        </w:rPr>
        <w:t xml:space="preserve">y </w:t>
      </w:r>
      <w:r w:rsidR="002D013D" w:rsidRPr="00AF6A9C">
        <w:rPr>
          <w:b/>
          <w:sz w:val="36"/>
          <w:szCs w:val="36"/>
          <w:lang w:val="es-ES"/>
        </w:rPr>
        <w:t>Respons</w:t>
      </w:r>
      <w:r w:rsidR="00A62C76" w:rsidRPr="00AF6A9C">
        <w:rPr>
          <w:b/>
          <w:sz w:val="36"/>
          <w:szCs w:val="36"/>
          <w:lang w:val="es-ES"/>
        </w:rPr>
        <w:t>abilidades</w:t>
      </w:r>
      <w:r w:rsidR="00291CCD" w:rsidRPr="00AF6A9C">
        <w:rPr>
          <w:b/>
          <w:sz w:val="36"/>
          <w:szCs w:val="36"/>
          <w:lang w:val="es-ES"/>
        </w:rPr>
        <w:tab/>
      </w:r>
    </w:p>
    <w:p w:rsidR="0017043B" w:rsidRPr="00291CCD" w:rsidRDefault="00A62C76" w:rsidP="00A07F6F">
      <w:pPr>
        <w:jc w:val="both"/>
        <w:rPr>
          <w:rFonts w:eastAsiaTheme="majorEastAsia" w:cstheme="majorBidi"/>
          <w:bCs/>
          <w:szCs w:val="24"/>
          <w:lang w:val="es-ES"/>
        </w:rPr>
      </w:pPr>
      <w:r w:rsidRPr="00291CCD">
        <w:rPr>
          <w:rFonts w:eastAsiaTheme="majorEastAsia" w:cstheme="majorBidi"/>
          <w:bCs/>
          <w:szCs w:val="24"/>
          <w:lang w:val="es-ES"/>
        </w:rPr>
        <w:t>Al implementar l</w:t>
      </w:r>
      <w:r w:rsidR="0005767E" w:rsidRPr="00291CCD">
        <w:rPr>
          <w:rFonts w:eastAsiaTheme="majorEastAsia" w:cstheme="majorBidi"/>
          <w:bCs/>
          <w:szCs w:val="24"/>
          <w:lang w:val="es-ES"/>
        </w:rPr>
        <w:t>os acuerdos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institucionales para el Inventario Nacional de Gases de Efecto Invernadero </w:t>
      </w:r>
      <w:r w:rsidR="00FD7DCD" w:rsidRPr="00291CCD">
        <w:rPr>
          <w:rFonts w:eastAsiaTheme="majorEastAsia" w:cstheme="majorBidi"/>
          <w:bCs/>
          <w:szCs w:val="24"/>
          <w:lang w:val="es-ES"/>
        </w:rPr>
        <w:t>(G</w:t>
      </w:r>
      <w:r w:rsidR="00507A13">
        <w:rPr>
          <w:rFonts w:eastAsiaTheme="majorEastAsia" w:cstheme="majorBidi"/>
          <w:bCs/>
          <w:szCs w:val="24"/>
          <w:lang w:val="es-ES"/>
        </w:rPr>
        <w:t>EI</w:t>
      </w:r>
      <w:r w:rsidR="00FD7DCD" w:rsidRPr="00291CCD">
        <w:rPr>
          <w:rFonts w:eastAsiaTheme="majorEastAsia" w:cstheme="majorBidi"/>
          <w:bCs/>
          <w:szCs w:val="24"/>
          <w:lang w:val="es-ES"/>
        </w:rPr>
        <w:t>)</w:t>
      </w:r>
      <w:r w:rsidR="00701D9A" w:rsidRPr="00291CCD">
        <w:rPr>
          <w:rFonts w:eastAsiaTheme="majorEastAsia" w:cstheme="majorBidi"/>
          <w:bCs/>
          <w:szCs w:val="24"/>
          <w:lang w:val="es-ES"/>
        </w:rPr>
        <w:t xml:space="preserve">, </w:t>
      </w:r>
      <w:r w:rsidRPr="00291CCD">
        <w:rPr>
          <w:rFonts w:eastAsiaTheme="majorEastAsia" w:cstheme="majorBidi"/>
          <w:bCs/>
          <w:szCs w:val="24"/>
          <w:lang w:val="es-ES"/>
        </w:rPr>
        <w:t>resulta importante comunicar las responsabilidades a todo el personal involucrado</w:t>
      </w:r>
      <w:r w:rsidR="00701D9A" w:rsidRPr="00291CCD">
        <w:rPr>
          <w:rFonts w:eastAsiaTheme="majorEastAsia" w:cstheme="majorBidi"/>
          <w:bCs/>
          <w:szCs w:val="24"/>
          <w:lang w:val="es-ES"/>
        </w:rPr>
        <w:t xml:space="preserve">. </w:t>
      </w:r>
      <w:r w:rsidRPr="00291CCD">
        <w:rPr>
          <w:rFonts w:eastAsiaTheme="majorEastAsia" w:cstheme="majorBidi"/>
          <w:bCs/>
          <w:szCs w:val="24"/>
          <w:lang w:val="es-ES"/>
        </w:rPr>
        <w:t>El</w:t>
      </w:r>
      <w:r w:rsidR="00291CCD" w:rsidRPr="00291CCD">
        <w:rPr>
          <w:rFonts w:eastAsiaTheme="majorEastAsia" w:cstheme="majorBidi"/>
          <w:bCs/>
          <w:szCs w:val="24"/>
          <w:lang w:val="es-ES"/>
        </w:rPr>
        <w:t xml:space="preserve"> presente documento describe las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responsabilidades </w:t>
      </w:r>
      <w:r w:rsidR="0000787E">
        <w:rPr>
          <w:rFonts w:eastAsiaTheme="majorEastAsia" w:cstheme="majorBidi"/>
          <w:bCs/>
          <w:szCs w:val="24"/>
          <w:lang w:val="es-ES"/>
        </w:rPr>
        <w:t xml:space="preserve">principales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del </w:t>
      </w:r>
      <w:r w:rsidRPr="00291CCD">
        <w:rPr>
          <w:rFonts w:eastAsiaTheme="majorEastAsia" w:cstheme="majorBidi"/>
          <w:b/>
          <w:bCs/>
          <w:szCs w:val="24"/>
          <w:lang w:val="es-ES"/>
        </w:rPr>
        <w:t xml:space="preserve">Jefe del </w:t>
      </w:r>
      <w:r w:rsidR="004B7AEB">
        <w:rPr>
          <w:rFonts w:eastAsiaTheme="majorEastAsia" w:cstheme="majorBidi"/>
          <w:b/>
          <w:bCs/>
          <w:szCs w:val="24"/>
          <w:lang w:val="es-ES"/>
        </w:rPr>
        <w:t>S</w:t>
      </w:r>
      <w:r w:rsidR="00FA262A" w:rsidRPr="00291CCD">
        <w:rPr>
          <w:rFonts w:eastAsiaTheme="majorEastAsia" w:cstheme="majorBidi"/>
          <w:b/>
          <w:bCs/>
          <w:szCs w:val="24"/>
          <w:lang w:val="es-ES"/>
        </w:rPr>
        <w:t>ector</w:t>
      </w:r>
      <w:r w:rsidR="00507A13">
        <w:rPr>
          <w:rFonts w:eastAsiaTheme="majorEastAsia" w:cstheme="majorBidi"/>
          <w:b/>
          <w:bCs/>
          <w:szCs w:val="24"/>
          <w:lang w:val="es-ES"/>
        </w:rPr>
        <w:t xml:space="preserve"> </w:t>
      </w:r>
      <w:r w:rsidR="00EC288F">
        <w:rPr>
          <w:rFonts w:eastAsiaTheme="majorEastAsia" w:cstheme="majorBidi"/>
          <w:b/>
          <w:bCs/>
          <w:szCs w:val="24"/>
          <w:lang w:val="es-ES"/>
        </w:rPr>
        <w:t>Energético</w:t>
      </w:r>
      <w:r w:rsidR="00031800" w:rsidRPr="00291CCD">
        <w:rPr>
          <w:rFonts w:eastAsiaTheme="majorEastAsia" w:cstheme="majorBidi"/>
          <w:bCs/>
          <w:szCs w:val="24"/>
          <w:lang w:val="es-ES"/>
        </w:rPr>
        <w:t xml:space="preserve">,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cuyo </w:t>
      </w:r>
      <w:r w:rsidR="00D8062F" w:rsidRPr="00291CCD">
        <w:rPr>
          <w:rFonts w:eastAsiaTheme="majorEastAsia" w:cstheme="majorBidi"/>
          <w:bCs/>
          <w:szCs w:val="24"/>
          <w:lang w:val="es-ES"/>
        </w:rPr>
        <w:t>papel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principal será gestionar y coordinar el desarrollo de las estimaciones de emisiones de Gas de Efecto Invernadero en el </w:t>
      </w:r>
      <w:r w:rsidR="00507A13">
        <w:rPr>
          <w:rFonts w:eastAsiaTheme="majorEastAsia" w:cstheme="majorBidi"/>
          <w:bCs/>
          <w:szCs w:val="24"/>
          <w:lang w:val="es-ES"/>
        </w:rPr>
        <w:t xml:space="preserve">sector </w:t>
      </w:r>
      <w:r w:rsidR="00243FF5">
        <w:rPr>
          <w:rFonts w:eastAsiaTheme="majorEastAsia" w:cstheme="majorBidi"/>
          <w:bCs/>
          <w:szCs w:val="24"/>
          <w:lang w:val="es-ES"/>
        </w:rPr>
        <w:t>e</w:t>
      </w:r>
      <w:r w:rsidR="00EC288F">
        <w:rPr>
          <w:rFonts w:eastAsiaTheme="majorEastAsia" w:cstheme="majorBidi"/>
          <w:bCs/>
          <w:szCs w:val="24"/>
          <w:lang w:val="es-ES"/>
        </w:rPr>
        <w:t>nergético</w:t>
      </w:r>
      <w:r w:rsidR="001079DC" w:rsidRPr="00291CCD">
        <w:rPr>
          <w:rFonts w:eastAsiaTheme="majorEastAsia" w:cstheme="majorBidi"/>
          <w:bCs/>
          <w:szCs w:val="24"/>
          <w:lang w:val="es-ES"/>
        </w:rPr>
        <w:t xml:space="preserve">.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Asimismo, el presente </w:t>
      </w:r>
      <w:r w:rsidR="00D8062F" w:rsidRPr="00291CCD">
        <w:rPr>
          <w:rFonts w:eastAsiaTheme="majorEastAsia" w:cstheme="majorBidi"/>
          <w:bCs/>
          <w:szCs w:val="24"/>
          <w:lang w:val="es-ES"/>
        </w:rPr>
        <w:t xml:space="preserve">documento </w:t>
      </w:r>
      <w:r w:rsidRPr="00291CCD">
        <w:rPr>
          <w:rFonts w:eastAsiaTheme="majorEastAsia" w:cstheme="majorBidi"/>
          <w:bCs/>
          <w:szCs w:val="24"/>
          <w:lang w:val="es-ES"/>
        </w:rPr>
        <w:t>forma parte de</w:t>
      </w:r>
      <w:r w:rsidR="00C22684" w:rsidRPr="00291CCD">
        <w:rPr>
          <w:rFonts w:eastAsiaTheme="majorEastAsia" w:cstheme="majorBidi"/>
          <w:bCs/>
          <w:szCs w:val="24"/>
          <w:lang w:val="es-ES"/>
        </w:rPr>
        <w:t xml:space="preserve"> </w:t>
      </w:r>
      <w:r w:rsidRPr="00291CCD">
        <w:rPr>
          <w:rFonts w:eastAsiaTheme="majorEastAsia" w:cstheme="majorBidi"/>
          <w:bCs/>
          <w:szCs w:val="24"/>
          <w:lang w:val="es-ES"/>
        </w:rPr>
        <w:t>l</w:t>
      </w:r>
      <w:r w:rsidR="00C22684" w:rsidRPr="00291CCD">
        <w:rPr>
          <w:rFonts w:eastAsiaTheme="majorEastAsia" w:cstheme="majorBidi"/>
          <w:bCs/>
          <w:szCs w:val="24"/>
          <w:lang w:val="es-ES"/>
        </w:rPr>
        <w:t xml:space="preserve">a Guía para Inventarios Nacionales de </w:t>
      </w:r>
      <w:r w:rsidR="001079DC" w:rsidRPr="00291CCD">
        <w:rPr>
          <w:rFonts w:eastAsiaTheme="majorEastAsia" w:cstheme="majorBidi"/>
          <w:bCs/>
          <w:szCs w:val="24"/>
          <w:lang w:val="es-ES"/>
        </w:rPr>
        <w:t>G</w:t>
      </w:r>
      <w:r w:rsidR="00507A13">
        <w:rPr>
          <w:rFonts w:eastAsiaTheme="majorEastAsia" w:cstheme="majorBidi"/>
          <w:bCs/>
          <w:szCs w:val="24"/>
          <w:lang w:val="es-ES"/>
        </w:rPr>
        <w:t>EI</w:t>
      </w:r>
      <w:r w:rsidR="001079DC" w:rsidRPr="00291CCD">
        <w:rPr>
          <w:rFonts w:eastAsiaTheme="majorEastAsia" w:cstheme="majorBidi"/>
          <w:bCs/>
          <w:szCs w:val="24"/>
          <w:lang w:val="es-ES"/>
        </w:rPr>
        <w:t xml:space="preserve"> </w:t>
      </w:r>
      <w:r w:rsidRPr="00291CCD">
        <w:rPr>
          <w:rFonts w:eastAsiaTheme="majorEastAsia" w:cstheme="majorBidi"/>
          <w:bCs/>
          <w:szCs w:val="24"/>
          <w:lang w:val="es-ES"/>
        </w:rPr>
        <w:t>de</w:t>
      </w:r>
      <w:r w:rsidR="00C22684" w:rsidRPr="00291CCD">
        <w:rPr>
          <w:rFonts w:eastAsiaTheme="majorEastAsia" w:cstheme="majorBidi"/>
          <w:bCs/>
          <w:szCs w:val="24"/>
          <w:lang w:val="es-ES"/>
        </w:rPr>
        <w:t xml:space="preserve"> la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EPA</w:t>
      </w:r>
      <w:r w:rsidR="00031800" w:rsidRPr="00291CCD">
        <w:rPr>
          <w:rFonts w:eastAsiaTheme="majorEastAsia" w:cstheme="majorBidi"/>
          <w:bCs/>
          <w:szCs w:val="24"/>
          <w:lang w:val="es-ES"/>
        </w:rPr>
        <w:t xml:space="preserve">,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un recurso complementario </w:t>
      </w:r>
      <w:r w:rsidR="00507A13">
        <w:rPr>
          <w:rFonts w:eastAsiaTheme="majorEastAsia" w:cstheme="majorBidi"/>
          <w:bCs/>
          <w:szCs w:val="24"/>
          <w:lang w:val="es-ES"/>
        </w:rPr>
        <w:t xml:space="preserve">al guía </w:t>
      </w:r>
      <w:hyperlink r:id="rId12" w:history="1">
        <w:r w:rsidR="00507A13">
          <w:rPr>
            <w:rStyle w:val="Hyperlink"/>
            <w:rFonts w:eastAsia="Times New Roman"/>
            <w:i/>
            <w:szCs w:val="24"/>
            <w:lang w:val="es-ES" w:eastAsia="zh-CN"/>
          </w:rPr>
          <w:t>Desarrollo de un Sistema Inventario Nacional de GEI</w:t>
        </w:r>
      </w:hyperlink>
      <w:r w:rsidRPr="00291CCD">
        <w:rPr>
          <w:szCs w:val="24"/>
          <w:lang w:val="es-ES"/>
        </w:rPr>
        <w:t xml:space="preserve"> de </w:t>
      </w:r>
      <w:r w:rsidR="00D8062F" w:rsidRPr="00291CCD">
        <w:rPr>
          <w:szCs w:val="24"/>
          <w:lang w:val="es-ES"/>
        </w:rPr>
        <w:t xml:space="preserve">la </w:t>
      </w:r>
      <w:r w:rsidRPr="00291CCD">
        <w:rPr>
          <w:szCs w:val="24"/>
          <w:lang w:val="es-ES"/>
        </w:rPr>
        <w:t xml:space="preserve">EPA, en particular la Plantilla de Acuerdos Institucionales </w:t>
      </w:r>
      <w:r w:rsidR="00FB5009" w:rsidRPr="00291CCD">
        <w:rPr>
          <w:szCs w:val="24"/>
          <w:lang w:val="es-ES"/>
        </w:rPr>
        <w:t>(IA)</w:t>
      </w:r>
      <w:r w:rsidR="00040E32" w:rsidRPr="00291CCD">
        <w:rPr>
          <w:rFonts w:eastAsia="Times New Roman"/>
          <w:szCs w:val="24"/>
          <w:lang w:val="es-ES" w:eastAsia="zh-CN"/>
        </w:rPr>
        <w:t xml:space="preserve">. </w:t>
      </w:r>
      <w:r w:rsidR="00C22684" w:rsidRPr="00291CCD">
        <w:rPr>
          <w:rFonts w:eastAsia="Times New Roman"/>
          <w:szCs w:val="24"/>
          <w:lang w:val="es-ES" w:eastAsia="zh-CN"/>
        </w:rPr>
        <w:t>Esta Guía</w:t>
      </w:r>
      <w:r w:rsidR="00040E32" w:rsidRPr="00291CCD">
        <w:rPr>
          <w:rFonts w:eastAsia="Times New Roman"/>
          <w:szCs w:val="24"/>
          <w:lang w:val="es-ES" w:eastAsia="zh-CN"/>
        </w:rPr>
        <w:t xml:space="preserve"> </w:t>
      </w:r>
      <w:r w:rsidR="0005767E" w:rsidRPr="00291CCD">
        <w:rPr>
          <w:rFonts w:eastAsia="Times New Roman"/>
          <w:szCs w:val="24"/>
          <w:lang w:val="es-ES" w:eastAsia="zh-CN"/>
        </w:rPr>
        <w:t>puede ser utilizada</w:t>
      </w:r>
      <w:r w:rsidRPr="00291CCD">
        <w:rPr>
          <w:rFonts w:eastAsia="Times New Roman"/>
          <w:szCs w:val="24"/>
          <w:lang w:val="es-ES" w:eastAsia="zh-CN"/>
        </w:rPr>
        <w:t xml:space="preserve"> por los miembros principales de un equipo de inventario</w:t>
      </w:r>
      <w:r w:rsidR="0005767E" w:rsidRPr="00291CCD">
        <w:rPr>
          <w:rFonts w:eastAsia="Times New Roman"/>
          <w:szCs w:val="24"/>
          <w:lang w:val="es-ES" w:eastAsia="zh-CN"/>
        </w:rPr>
        <w:t>s</w:t>
      </w:r>
      <w:r w:rsidRPr="00291CCD">
        <w:rPr>
          <w:rFonts w:eastAsia="Times New Roman"/>
          <w:szCs w:val="24"/>
          <w:lang w:val="es-ES" w:eastAsia="zh-CN"/>
        </w:rPr>
        <w:t xml:space="preserve"> nacional</w:t>
      </w:r>
      <w:r w:rsidR="0005767E" w:rsidRPr="00291CCD">
        <w:rPr>
          <w:rFonts w:eastAsia="Times New Roman"/>
          <w:szCs w:val="24"/>
          <w:lang w:val="es-ES" w:eastAsia="zh-CN"/>
        </w:rPr>
        <w:t>es</w:t>
      </w:r>
      <w:r w:rsidRPr="00291CCD">
        <w:rPr>
          <w:rFonts w:eastAsia="Times New Roman"/>
          <w:szCs w:val="24"/>
          <w:lang w:val="es-ES" w:eastAsia="zh-CN"/>
        </w:rPr>
        <w:t xml:space="preserve"> a fin de diseñar y desarrollar un sistema</w:t>
      </w:r>
      <w:r w:rsidR="0000787E">
        <w:rPr>
          <w:rFonts w:eastAsia="Times New Roman"/>
          <w:szCs w:val="24"/>
          <w:lang w:val="es-ES" w:eastAsia="zh-CN"/>
        </w:rPr>
        <w:t xml:space="preserve"> de gestión </w:t>
      </w:r>
      <w:r w:rsidRPr="00291CCD">
        <w:rPr>
          <w:rFonts w:eastAsia="Times New Roman"/>
          <w:szCs w:val="24"/>
          <w:lang w:val="es-ES" w:eastAsia="zh-CN"/>
        </w:rPr>
        <w:t>de inventario sostenible</w:t>
      </w:r>
      <w:r w:rsidR="00040E32" w:rsidRPr="00291CCD">
        <w:rPr>
          <w:rFonts w:eastAsia="Times New Roman"/>
          <w:szCs w:val="24"/>
          <w:lang w:val="es-ES" w:eastAsia="zh-CN"/>
        </w:rPr>
        <w:t xml:space="preserve">.  </w:t>
      </w:r>
      <w:r w:rsidRPr="00291CCD">
        <w:rPr>
          <w:rFonts w:eastAsia="Times New Roman"/>
          <w:szCs w:val="24"/>
          <w:lang w:val="es-ES" w:eastAsia="zh-CN"/>
        </w:rPr>
        <w:t>El jefe del sector</w:t>
      </w:r>
      <w:r w:rsidR="00E1753E">
        <w:rPr>
          <w:rFonts w:eastAsia="Times New Roman"/>
          <w:szCs w:val="24"/>
          <w:lang w:val="es-ES" w:eastAsia="zh-CN"/>
        </w:rPr>
        <w:t xml:space="preserve"> </w:t>
      </w:r>
      <w:r w:rsidR="00EC288F">
        <w:rPr>
          <w:rFonts w:eastAsia="Times New Roman"/>
          <w:szCs w:val="24"/>
          <w:lang w:val="es-ES" w:eastAsia="zh-CN"/>
        </w:rPr>
        <w:t>energético</w:t>
      </w:r>
      <w:r w:rsidR="0005767E" w:rsidRPr="00291CCD">
        <w:rPr>
          <w:rFonts w:eastAsia="Times New Roman"/>
          <w:szCs w:val="24"/>
          <w:lang w:val="es-ES" w:eastAsia="zh-CN"/>
        </w:rPr>
        <w:t xml:space="preserve">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puede hacer uso de este documento como una herramienta de referencia durante el desarrollo del Inventario Nacional </w:t>
      </w:r>
      <w:r w:rsidR="0005767E" w:rsidRPr="00291CCD">
        <w:rPr>
          <w:rFonts w:eastAsiaTheme="majorEastAsia" w:cstheme="majorBidi"/>
          <w:bCs/>
          <w:szCs w:val="24"/>
          <w:lang w:val="es-ES"/>
        </w:rPr>
        <w:t xml:space="preserve">de </w:t>
      </w:r>
      <w:r w:rsidR="00031800" w:rsidRPr="00291CCD">
        <w:rPr>
          <w:rFonts w:eastAsiaTheme="majorEastAsia" w:cstheme="majorBidi"/>
          <w:bCs/>
          <w:szCs w:val="24"/>
          <w:lang w:val="es-ES"/>
        </w:rPr>
        <w:t xml:space="preserve">GHG 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a fin de </w:t>
      </w:r>
      <w:r w:rsidR="0005767E" w:rsidRPr="00291CCD">
        <w:rPr>
          <w:rFonts w:eastAsiaTheme="majorEastAsia" w:cstheme="majorBidi"/>
          <w:bCs/>
          <w:szCs w:val="24"/>
          <w:lang w:val="es-ES"/>
        </w:rPr>
        <w:t>tener una orientación</w:t>
      </w:r>
      <w:r w:rsidRPr="00291CCD">
        <w:rPr>
          <w:rFonts w:eastAsiaTheme="majorEastAsia" w:cstheme="majorBidi"/>
          <w:bCs/>
          <w:szCs w:val="24"/>
          <w:lang w:val="es-ES"/>
        </w:rPr>
        <w:t xml:space="preserve"> con respecto a las responsabilidades más importantes inherentes a su cargo</w:t>
      </w:r>
      <w:r w:rsidR="00375D59" w:rsidRPr="00291CCD">
        <w:rPr>
          <w:rFonts w:eastAsiaTheme="majorEastAsia" w:cstheme="majorBidi"/>
          <w:bCs/>
          <w:szCs w:val="24"/>
          <w:lang w:val="es-ES"/>
        </w:rPr>
        <w:t>.</w:t>
      </w:r>
    </w:p>
    <w:p w:rsidR="008679E1" w:rsidRPr="004A5040" w:rsidRDefault="008679E1" w:rsidP="00A07F6F">
      <w:pPr>
        <w:jc w:val="both"/>
        <w:rPr>
          <w:rFonts w:eastAsiaTheme="majorEastAsia" w:cstheme="majorBidi"/>
          <w:bCs/>
          <w:sz w:val="24"/>
          <w:szCs w:val="24"/>
          <w:lang w:val="es-ES"/>
        </w:rPr>
      </w:pPr>
    </w:p>
    <w:p w:rsidR="002D013D" w:rsidRPr="004A5040" w:rsidRDefault="00A62C76" w:rsidP="00A07F6F">
      <w:pPr>
        <w:pStyle w:val="Heading2"/>
        <w:pBdr>
          <w:top w:val="single" w:sz="8" w:space="1" w:color="1F497D" w:themeColor="text2"/>
          <w:left w:val="single" w:sz="8" w:space="3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  <w:jc w:val="both"/>
        <w:rPr>
          <w:lang w:val="es-ES"/>
        </w:rPr>
      </w:pPr>
      <w:r w:rsidRPr="004A5040">
        <w:rPr>
          <w:lang w:val="es-ES"/>
        </w:rPr>
        <w:t>El</w:t>
      </w:r>
      <w:r w:rsidR="00E1753E">
        <w:rPr>
          <w:lang w:val="es-ES"/>
        </w:rPr>
        <w:t xml:space="preserve"> </w:t>
      </w:r>
      <w:r w:rsidRPr="004A5040">
        <w:rPr>
          <w:lang w:val="es-ES"/>
        </w:rPr>
        <w:t>Jefe del</w:t>
      </w:r>
      <w:r w:rsidR="002D013D" w:rsidRPr="004A5040">
        <w:rPr>
          <w:lang w:val="es-ES"/>
        </w:rPr>
        <w:t xml:space="preserve"> </w:t>
      </w:r>
      <w:r w:rsidR="006F44F3" w:rsidRPr="004A5040">
        <w:rPr>
          <w:lang w:val="es-ES"/>
        </w:rPr>
        <w:t xml:space="preserve">Sector </w:t>
      </w:r>
      <w:r w:rsidR="00EC288F">
        <w:rPr>
          <w:lang w:val="es-ES"/>
        </w:rPr>
        <w:t>Energético</w:t>
      </w:r>
      <w:r w:rsidR="00E1753E">
        <w:rPr>
          <w:lang w:val="es-ES"/>
        </w:rPr>
        <w:t xml:space="preserve"> </w:t>
      </w:r>
      <w:r w:rsidRPr="004A5040">
        <w:rPr>
          <w:lang w:val="es-ES"/>
        </w:rPr>
        <w:t>debe entender</w:t>
      </w:r>
      <w:r w:rsidR="002D013D" w:rsidRPr="004A5040">
        <w:rPr>
          <w:lang w:val="es-ES"/>
        </w:rPr>
        <w:t>:</w:t>
      </w:r>
    </w:p>
    <w:p w:rsidR="00570250" w:rsidRPr="00291CCD" w:rsidRDefault="00570250" w:rsidP="00570250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>
        <w:rPr>
          <w:szCs w:val="24"/>
          <w:lang w:val="es-ES"/>
        </w:rPr>
        <w:t xml:space="preserve">Las responsabilidades específicas </w:t>
      </w:r>
      <w:r w:rsidRPr="00291CCD">
        <w:rPr>
          <w:szCs w:val="24"/>
          <w:lang w:val="es-ES"/>
        </w:rPr>
        <w:t xml:space="preserve">de </w:t>
      </w:r>
      <w:r>
        <w:rPr>
          <w:szCs w:val="24"/>
          <w:lang w:val="es-ES"/>
        </w:rPr>
        <w:t>je</w:t>
      </w:r>
      <w:r w:rsidRPr="00291CCD">
        <w:rPr>
          <w:szCs w:val="24"/>
          <w:lang w:val="es-ES"/>
        </w:rPr>
        <w:t>fe del sector</w:t>
      </w:r>
      <w:r>
        <w:rPr>
          <w:szCs w:val="24"/>
          <w:lang w:val="es-ES"/>
        </w:rPr>
        <w:t xml:space="preserve"> </w:t>
      </w:r>
      <w:r w:rsidR="00C033FC">
        <w:rPr>
          <w:szCs w:val="24"/>
          <w:lang w:val="es-ES"/>
        </w:rPr>
        <w:t>energética</w:t>
      </w:r>
      <w:r w:rsidRPr="00291CCD">
        <w:rPr>
          <w:szCs w:val="24"/>
          <w:lang w:val="es-ES"/>
        </w:rPr>
        <w:t xml:space="preserve">, que incluye </w:t>
      </w:r>
      <w:r>
        <w:rPr>
          <w:szCs w:val="24"/>
          <w:lang w:val="es-ES"/>
        </w:rPr>
        <w:t>un entendimiento claro</w:t>
      </w:r>
      <w:r w:rsidRPr="00291CCD">
        <w:rPr>
          <w:szCs w:val="24"/>
          <w:lang w:val="es-ES"/>
        </w:rPr>
        <w:t xml:space="preserve"> con su supervisor inmediato / organización y el Coordinador de Inventarios Nacional (NIC)</w:t>
      </w:r>
      <w:r>
        <w:rPr>
          <w:szCs w:val="24"/>
          <w:lang w:val="es-ES"/>
        </w:rPr>
        <w:t xml:space="preserve"> sobre su rol en producir estimaciones de GEI para el sector </w:t>
      </w:r>
      <w:r w:rsidR="00C033FC">
        <w:rPr>
          <w:szCs w:val="24"/>
          <w:lang w:val="es-ES"/>
        </w:rPr>
        <w:t>energética</w:t>
      </w:r>
      <w:r>
        <w:rPr>
          <w:szCs w:val="24"/>
          <w:lang w:val="es-ES"/>
        </w:rPr>
        <w:t xml:space="preserve"> para el inventario</w:t>
      </w:r>
      <w:r w:rsidRPr="00291CCD">
        <w:rPr>
          <w:szCs w:val="24"/>
          <w:lang w:val="es-ES"/>
        </w:rPr>
        <w:t>,</w:t>
      </w:r>
    </w:p>
    <w:p w:rsidR="002D013D" w:rsidRPr="00291CCD" w:rsidRDefault="00A62C76" w:rsidP="00A07F6F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 w:rsidRPr="00291CCD">
        <w:rPr>
          <w:szCs w:val="24"/>
          <w:lang w:val="es-ES"/>
        </w:rPr>
        <w:t xml:space="preserve">Los entregables esperados y requeridos y </w:t>
      </w:r>
      <w:r w:rsidR="00C22684" w:rsidRPr="00291CCD">
        <w:rPr>
          <w:szCs w:val="24"/>
          <w:lang w:val="es-ES"/>
        </w:rPr>
        <w:t>la fecha</w:t>
      </w:r>
      <w:r w:rsidR="002D013D" w:rsidRPr="00291CCD">
        <w:rPr>
          <w:szCs w:val="24"/>
          <w:lang w:val="es-ES"/>
        </w:rPr>
        <w:t xml:space="preserve"> </w:t>
      </w:r>
      <w:r w:rsidRPr="00291CCD">
        <w:rPr>
          <w:szCs w:val="24"/>
          <w:lang w:val="es-ES"/>
        </w:rPr>
        <w:t>para la presentación de cada entregable</w:t>
      </w:r>
      <w:r w:rsidR="002D013D" w:rsidRPr="00291CCD">
        <w:rPr>
          <w:szCs w:val="24"/>
          <w:lang w:val="es-ES"/>
        </w:rPr>
        <w:t>,</w:t>
      </w:r>
    </w:p>
    <w:p w:rsidR="002D013D" w:rsidRPr="00291CCD" w:rsidRDefault="00E82BCB" w:rsidP="00A07F6F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 w:rsidRPr="00291CCD">
        <w:rPr>
          <w:szCs w:val="24"/>
          <w:lang w:val="es-ES"/>
        </w:rPr>
        <w:t>La cantidad estimada de tiempo necesari</w:t>
      </w:r>
      <w:r w:rsidR="0005767E" w:rsidRPr="00291CCD">
        <w:rPr>
          <w:szCs w:val="24"/>
          <w:lang w:val="es-ES"/>
        </w:rPr>
        <w:t>o</w:t>
      </w:r>
      <w:r w:rsidRPr="00291CCD">
        <w:rPr>
          <w:szCs w:val="24"/>
          <w:lang w:val="es-ES"/>
        </w:rPr>
        <w:t xml:space="preserve"> para completar las tareas del </w:t>
      </w:r>
      <w:r w:rsidR="00E1753E">
        <w:rPr>
          <w:szCs w:val="24"/>
          <w:lang w:val="es-ES"/>
        </w:rPr>
        <w:t xml:space="preserve">jefe del sector </w:t>
      </w:r>
      <w:r w:rsidR="00EC288F">
        <w:rPr>
          <w:szCs w:val="24"/>
          <w:lang w:val="es-ES"/>
        </w:rPr>
        <w:t>energético</w:t>
      </w:r>
      <w:r w:rsidR="002D013D" w:rsidRPr="00291CCD">
        <w:rPr>
          <w:szCs w:val="24"/>
          <w:lang w:val="es-ES"/>
        </w:rPr>
        <w:t>,</w:t>
      </w:r>
    </w:p>
    <w:p w:rsidR="002D013D" w:rsidRPr="00291CCD" w:rsidRDefault="00E82BCB" w:rsidP="00A07F6F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 w:rsidRPr="00291CCD">
        <w:rPr>
          <w:szCs w:val="24"/>
          <w:lang w:val="es-ES"/>
        </w:rPr>
        <w:t>El presupuesto disponible</w:t>
      </w:r>
      <w:r w:rsidR="00E31EB4" w:rsidRPr="00291CCD">
        <w:rPr>
          <w:szCs w:val="24"/>
          <w:lang w:val="es-ES"/>
        </w:rPr>
        <w:t xml:space="preserve">, </w:t>
      </w:r>
      <w:r w:rsidR="0005767E" w:rsidRPr="00291CCD">
        <w:rPr>
          <w:szCs w:val="24"/>
          <w:lang w:val="es-ES"/>
        </w:rPr>
        <w:t>en concordancia</w:t>
      </w:r>
      <w:r w:rsidRPr="00291CCD">
        <w:rPr>
          <w:szCs w:val="24"/>
          <w:lang w:val="es-ES"/>
        </w:rPr>
        <w:t xml:space="preserve"> con sus </w:t>
      </w:r>
      <w:r w:rsidR="0005767E" w:rsidRPr="00291CCD">
        <w:rPr>
          <w:szCs w:val="24"/>
          <w:lang w:val="es-ES"/>
        </w:rPr>
        <w:t xml:space="preserve">acuerdos </w:t>
      </w:r>
      <w:r w:rsidRPr="00291CCD">
        <w:rPr>
          <w:szCs w:val="24"/>
          <w:lang w:val="es-ES"/>
        </w:rPr>
        <w:t xml:space="preserve">institucionales y </w:t>
      </w:r>
      <w:r w:rsidR="0005767E" w:rsidRPr="00291CCD">
        <w:rPr>
          <w:szCs w:val="24"/>
          <w:lang w:val="es-ES"/>
        </w:rPr>
        <w:t xml:space="preserve">conforme a las </w:t>
      </w:r>
      <w:r w:rsidRPr="00291CCD">
        <w:rPr>
          <w:szCs w:val="24"/>
          <w:lang w:val="es-ES"/>
        </w:rPr>
        <w:t xml:space="preserve">circunstancias nacionales, como los fondos asignados por su supervisor inmediato o por el </w:t>
      </w:r>
      <w:r w:rsidR="00FD7DCD" w:rsidRPr="00291CCD">
        <w:rPr>
          <w:szCs w:val="24"/>
          <w:lang w:val="es-ES"/>
        </w:rPr>
        <w:t>NIC</w:t>
      </w:r>
      <w:r w:rsidR="00860957" w:rsidRPr="00291CCD">
        <w:rPr>
          <w:szCs w:val="24"/>
          <w:lang w:val="es-ES"/>
        </w:rPr>
        <w:t xml:space="preserve"> </w:t>
      </w:r>
      <w:r w:rsidR="00570250">
        <w:rPr>
          <w:szCs w:val="24"/>
          <w:lang w:val="es-ES"/>
        </w:rPr>
        <w:t>p</w:t>
      </w:r>
      <w:r w:rsidR="00570250" w:rsidRPr="00291CCD">
        <w:rPr>
          <w:szCs w:val="24"/>
          <w:lang w:val="es-ES"/>
        </w:rPr>
        <w:t xml:space="preserve">ara desarrollar las estimaciones de GHG del sector </w:t>
      </w:r>
      <w:r w:rsidR="00D6160C">
        <w:rPr>
          <w:szCs w:val="24"/>
          <w:lang w:val="es-ES"/>
        </w:rPr>
        <w:t>energético</w:t>
      </w:r>
      <w:r w:rsidR="00570250">
        <w:rPr>
          <w:szCs w:val="24"/>
          <w:lang w:val="es-ES"/>
        </w:rPr>
        <w:t xml:space="preserve"> para comunicar como los fondos son utilizadas para apoyar el desarrollo y documentación de las estimaciones energéticos, </w:t>
      </w:r>
      <w:r w:rsidR="00570250" w:rsidRPr="00291CCD">
        <w:rPr>
          <w:szCs w:val="24"/>
          <w:lang w:val="es-ES"/>
        </w:rPr>
        <w:t>y</w:t>
      </w:r>
    </w:p>
    <w:p w:rsidR="00EB5FB6" w:rsidRPr="00291CCD" w:rsidRDefault="00E82BCB" w:rsidP="00A07F6F">
      <w:pPr>
        <w:pStyle w:val="ListParagraph"/>
        <w:numPr>
          <w:ilvl w:val="0"/>
          <w:numId w:val="10"/>
        </w:numPr>
        <w:spacing w:before="120" w:after="120" w:line="240" w:lineRule="exact"/>
        <w:contextualSpacing w:val="0"/>
        <w:jc w:val="both"/>
        <w:rPr>
          <w:szCs w:val="24"/>
          <w:lang w:val="es-ES"/>
        </w:rPr>
      </w:pPr>
      <w:r w:rsidRPr="00291CCD">
        <w:rPr>
          <w:szCs w:val="24"/>
          <w:lang w:val="es-ES"/>
        </w:rPr>
        <w:t xml:space="preserve">La Directrices del </w:t>
      </w:r>
      <w:r w:rsidR="00EB5FB6" w:rsidRPr="00291CCD">
        <w:rPr>
          <w:szCs w:val="24"/>
          <w:lang w:val="es-ES"/>
        </w:rPr>
        <w:t xml:space="preserve">IPCC </w:t>
      </w:r>
      <w:r w:rsidRPr="00291CCD">
        <w:rPr>
          <w:szCs w:val="24"/>
          <w:lang w:val="es-ES"/>
        </w:rPr>
        <w:t xml:space="preserve">para su </w:t>
      </w:r>
      <w:r w:rsidR="00EB5FB6" w:rsidRPr="00291CCD">
        <w:rPr>
          <w:szCs w:val="24"/>
          <w:lang w:val="es-ES"/>
        </w:rPr>
        <w:t xml:space="preserve">sector, </w:t>
      </w:r>
      <w:r w:rsidRPr="00291CCD">
        <w:rPr>
          <w:szCs w:val="24"/>
          <w:lang w:val="es-ES"/>
        </w:rPr>
        <w:t xml:space="preserve">que incluye los métodos </w:t>
      </w:r>
      <w:r w:rsidR="0005767E" w:rsidRPr="00291CCD">
        <w:rPr>
          <w:szCs w:val="24"/>
          <w:lang w:val="es-ES"/>
        </w:rPr>
        <w:t>predeterminados</w:t>
      </w:r>
      <w:r w:rsidR="00EB5FB6" w:rsidRPr="00291CCD">
        <w:rPr>
          <w:szCs w:val="24"/>
          <w:lang w:val="es-ES"/>
        </w:rPr>
        <w:t xml:space="preserve">, </w:t>
      </w:r>
      <w:r w:rsidR="0005767E" w:rsidRPr="00291CCD">
        <w:rPr>
          <w:szCs w:val="24"/>
          <w:lang w:val="es-ES"/>
        </w:rPr>
        <w:t xml:space="preserve">las </w:t>
      </w:r>
      <w:r w:rsidRPr="00291CCD">
        <w:rPr>
          <w:szCs w:val="24"/>
          <w:lang w:val="es-ES"/>
        </w:rPr>
        <w:t>fuentes de datos</w:t>
      </w:r>
      <w:r w:rsidR="00EB5FB6" w:rsidRPr="00291CCD">
        <w:rPr>
          <w:szCs w:val="24"/>
          <w:lang w:val="es-ES"/>
        </w:rPr>
        <w:t>, QA/QC</w:t>
      </w:r>
      <w:r w:rsidRPr="00291CCD">
        <w:rPr>
          <w:szCs w:val="24"/>
          <w:lang w:val="es-ES"/>
        </w:rPr>
        <w:t xml:space="preserve"> básico</w:t>
      </w:r>
      <w:r w:rsidR="00EB5FB6" w:rsidRPr="00291CCD">
        <w:rPr>
          <w:szCs w:val="24"/>
          <w:lang w:val="es-ES"/>
        </w:rPr>
        <w:t xml:space="preserve">, </w:t>
      </w:r>
      <w:r w:rsidRPr="00291CCD">
        <w:rPr>
          <w:szCs w:val="24"/>
          <w:lang w:val="es-ES"/>
        </w:rPr>
        <w:t xml:space="preserve">evaluación de </w:t>
      </w:r>
      <w:r w:rsidR="00552FC9" w:rsidRPr="00291CCD">
        <w:rPr>
          <w:szCs w:val="24"/>
          <w:lang w:val="es-ES"/>
        </w:rPr>
        <w:t>incertidumbre</w:t>
      </w:r>
      <w:r w:rsidR="00407C04" w:rsidRPr="00291CCD">
        <w:rPr>
          <w:szCs w:val="24"/>
          <w:lang w:val="es-ES"/>
        </w:rPr>
        <w:t>,</w:t>
      </w:r>
      <w:r w:rsidR="00EB5FB6" w:rsidRPr="00291CCD">
        <w:rPr>
          <w:szCs w:val="24"/>
          <w:lang w:val="es-ES"/>
        </w:rPr>
        <w:t xml:space="preserve"> </w:t>
      </w:r>
      <w:r w:rsidRPr="00291CCD">
        <w:rPr>
          <w:szCs w:val="24"/>
          <w:lang w:val="es-ES"/>
        </w:rPr>
        <w:t>y procedimiento de reporte de resultados</w:t>
      </w:r>
      <w:r w:rsidR="00EB5FB6" w:rsidRPr="00291CCD">
        <w:rPr>
          <w:szCs w:val="24"/>
          <w:lang w:val="es-ES"/>
        </w:rPr>
        <w:t>.</w:t>
      </w:r>
    </w:p>
    <w:p w:rsidR="002F4A31" w:rsidRPr="004A5040" w:rsidRDefault="008679E1" w:rsidP="00A07F6F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0" w:line="276" w:lineRule="auto"/>
        <w:jc w:val="both"/>
        <w:rPr>
          <w:lang w:val="es-ES"/>
        </w:rPr>
      </w:pPr>
      <w:r w:rsidRPr="004A5040">
        <w:rPr>
          <w:lang w:val="es-ES"/>
        </w:rPr>
        <w:t xml:space="preserve"> </w:t>
      </w:r>
      <w:r w:rsidR="00EF6AF7" w:rsidRPr="004A5040">
        <w:rPr>
          <w:lang w:val="es-ES"/>
        </w:rPr>
        <w:t xml:space="preserve">Preparación del </w:t>
      </w:r>
      <w:r w:rsidR="002D013D" w:rsidRPr="004A5040">
        <w:rPr>
          <w:lang w:val="es-ES"/>
        </w:rPr>
        <w:t>Sector</w:t>
      </w:r>
      <w:r w:rsidR="006206DB">
        <w:rPr>
          <w:lang w:val="es-ES"/>
        </w:rPr>
        <w:t xml:space="preserve"> </w:t>
      </w:r>
      <w:r w:rsidR="00EC288F">
        <w:rPr>
          <w:lang w:val="es-ES"/>
        </w:rPr>
        <w:t>Energético</w:t>
      </w:r>
      <w:r w:rsidR="002D013D" w:rsidRPr="004A5040">
        <w:rPr>
          <w:lang w:val="es-ES"/>
        </w:rPr>
        <w:t xml:space="preserve"> </w:t>
      </w:r>
    </w:p>
    <w:p w:rsidR="002D013D" w:rsidRPr="00291CCD" w:rsidRDefault="00FC17B6" w:rsidP="009D57A7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B4C7EC" wp14:editId="36668F63">
                <wp:simplePos x="0" y="0"/>
                <wp:positionH relativeFrom="column">
                  <wp:posOffset>-77638</wp:posOffset>
                </wp:positionH>
                <wp:positionV relativeFrom="paragraph">
                  <wp:posOffset>36279</wp:posOffset>
                </wp:positionV>
                <wp:extent cx="7004050" cy="3395932"/>
                <wp:effectExtent l="0" t="0" r="2540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4050" cy="3395932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12700" cap="flat" cmpd="sng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C4D" w:rsidRDefault="00E85C4D" w:rsidP="002D013D"/>
                          <w:p w:rsidR="00E85C4D" w:rsidRDefault="00E85C4D" w:rsidP="002D013D"/>
                          <w:p w:rsidR="003C02DB" w:rsidRPr="00DA1885" w:rsidRDefault="003C02DB" w:rsidP="002D0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.1pt;margin-top:2.85pt;width:551.5pt;height:26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" fillcolor="white [3212]" strokecolor="#1f497d [3215]" strokeweight="1pt">
                <v:fill color2="#95b3d7 [1940]" focus="100%" type="gradientRadial">
                  <o:fill v:ext="view" type="gradientCenter"/>
                </v:fill>
                <v:path arrowok="t"/>
                <v:textbox>
                  <w:txbxContent>
                    <w:p w:rsidR="00E85C4D" w:rsidRDefault="00E85C4D" w:rsidP="002D013D"/>
                    <w:p w:rsidR="00E85C4D" w:rsidRDefault="00E85C4D" w:rsidP="002D013D"/>
                    <w:p w:rsidR="003C02DB" w:rsidRPr="00DA1885" w:rsidRDefault="003C02DB" w:rsidP="002D013D"/>
                  </w:txbxContent>
                </v:textbox>
              </v:shape>
            </w:pict>
          </mc:Fallback>
        </mc:AlternateContent>
      </w:r>
      <w:r w:rsidR="00244846" w:rsidRPr="00291CCD">
        <w:rPr>
          <w:rFonts w:cs="Palatino-Roman"/>
          <w:lang w:val="es-ES"/>
        </w:rPr>
        <w:t>Rev</w:t>
      </w:r>
      <w:r w:rsidR="00EF6AF7" w:rsidRPr="00291CCD">
        <w:rPr>
          <w:rFonts w:cs="Palatino-Roman"/>
          <w:lang w:val="es-ES"/>
        </w:rPr>
        <w:t xml:space="preserve">isar los materiales del Grupo de Consultoría de Expertos </w:t>
      </w:r>
      <w:r w:rsidR="00FD7DCD" w:rsidRPr="00291CCD">
        <w:rPr>
          <w:rFonts w:cs="Palatino-Roman"/>
          <w:lang w:val="es-ES"/>
        </w:rPr>
        <w:t>(</w:t>
      </w:r>
      <w:r w:rsidR="00FA0F66" w:rsidRPr="00291CCD">
        <w:rPr>
          <w:rFonts w:cs="Palatino-Roman"/>
          <w:lang w:val="es-ES"/>
        </w:rPr>
        <w:t>CGE</w:t>
      </w:r>
      <w:r w:rsidR="00FD7DCD" w:rsidRPr="00291CCD">
        <w:rPr>
          <w:rFonts w:cs="Palatino-Roman"/>
          <w:lang w:val="es-ES"/>
        </w:rPr>
        <w:t>)</w:t>
      </w:r>
      <w:r w:rsidR="00E80AF8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 xml:space="preserve">relacionados con el </w:t>
      </w:r>
      <w:r w:rsidR="00244846" w:rsidRPr="00291CCD">
        <w:rPr>
          <w:rFonts w:cs="Palatino-Roman"/>
          <w:lang w:val="es-ES"/>
        </w:rPr>
        <w:t>sector</w:t>
      </w:r>
      <w:r w:rsidR="00E1753E">
        <w:rPr>
          <w:rFonts w:cs="Palatino-Roman"/>
          <w:lang w:val="es-ES"/>
        </w:rPr>
        <w:t xml:space="preserve"> </w:t>
      </w:r>
      <w:r w:rsidR="00EC288F">
        <w:rPr>
          <w:rFonts w:cs="Palatino-Roman"/>
          <w:lang w:val="es-ES"/>
        </w:rPr>
        <w:t>energético</w:t>
      </w:r>
      <w:r w:rsidR="006F3F65" w:rsidRPr="00291CCD">
        <w:rPr>
          <w:rFonts w:cs="Palatino-Roman"/>
          <w:lang w:val="es-ES"/>
        </w:rPr>
        <w:t>.</w:t>
      </w:r>
      <w:r w:rsidR="00244846" w:rsidRPr="00291CCD">
        <w:rPr>
          <w:rFonts w:cs="Palatino-Roman"/>
          <w:lang w:val="es-ES"/>
        </w:rPr>
        <w:t xml:space="preserve"> </w:t>
      </w:r>
      <w:hyperlink r:id="rId13" w:history="1">
        <w:r w:rsidR="00E1753E">
          <w:rPr>
            <w:rStyle w:val="Hyperlink"/>
            <w:rFonts w:cs="Palatino-Roman"/>
            <w:lang w:val="es-ES"/>
          </w:rPr>
          <w:t>[</w:t>
        </w:r>
        <w:r w:rsidR="002D013D" w:rsidRPr="00291CCD">
          <w:rPr>
            <w:rStyle w:val="Hyperlink"/>
            <w:rFonts w:cs="Palatino-Roman"/>
            <w:lang w:val="es-ES"/>
          </w:rPr>
          <w:t>Material</w:t>
        </w:r>
        <w:r w:rsidR="00E1753E">
          <w:rPr>
            <w:rStyle w:val="Hyperlink"/>
            <w:rFonts w:cs="Palatino-Roman"/>
            <w:lang w:val="es-ES"/>
          </w:rPr>
          <w:t>e</w:t>
        </w:r>
        <w:r w:rsidR="002D013D" w:rsidRPr="00291CCD">
          <w:rPr>
            <w:rStyle w:val="Hyperlink"/>
            <w:rFonts w:cs="Palatino-Roman"/>
            <w:lang w:val="es-ES"/>
          </w:rPr>
          <w:t>s</w:t>
        </w:r>
      </w:hyperlink>
      <w:r w:rsidR="00E1753E">
        <w:rPr>
          <w:rStyle w:val="Hyperlink"/>
          <w:rFonts w:cs="Palatino-Roman"/>
          <w:lang w:val="es-ES"/>
        </w:rPr>
        <w:t xml:space="preserve"> CGE</w:t>
      </w:r>
      <w:r w:rsidR="002D013D" w:rsidRPr="00291CCD">
        <w:rPr>
          <w:rFonts w:cs="Palatino-Roman"/>
          <w:lang w:val="es-ES"/>
        </w:rPr>
        <w:t>]</w:t>
      </w:r>
      <w:r w:rsidR="002D013D" w:rsidRPr="00291CCD">
        <w:rPr>
          <w:rStyle w:val="CommentReference"/>
          <w:sz w:val="22"/>
          <w:szCs w:val="22"/>
          <w:lang w:val="es-ES"/>
        </w:rPr>
        <w:t xml:space="preserve"> </w:t>
      </w:r>
    </w:p>
    <w:p w:rsidR="00C97D67" w:rsidRPr="00291CCD" w:rsidRDefault="002D013D" w:rsidP="009D57A7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E1753E">
        <w:rPr>
          <w:rFonts w:cs="Palatino-Roman"/>
          <w:lang w:val="es-ES"/>
        </w:rPr>
        <w:t xml:space="preserve">sar la </w:t>
      </w:r>
      <w:r w:rsidRPr="00291CCD">
        <w:rPr>
          <w:rFonts w:cs="Palatino-Roman"/>
          <w:lang w:val="es-ES"/>
        </w:rPr>
        <w:t>sec</w:t>
      </w:r>
      <w:r w:rsidR="00EF6AF7" w:rsidRPr="00291CCD">
        <w:rPr>
          <w:rFonts w:cs="Palatino-Roman"/>
          <w:lang w:val="es-ES"/>
        </w:rPr>
        <w:t>ción</w:t>
      </w:r>
      <w:r w:rsidR="00E1753E">
        <w:rPr>
          <w:rFonts w:cs="Palatino-Roman"/>
          <w:lang w:val="es-ES"/>
        </w:rPr>
        <w:t xml:space="preserve"> </w:t>
      </w:r>
      <w:r w:rsidR="005D7C31">
        <w:rPr>
          <w:rFonts w:cs="Palatino-Roman"/>
          <w:lang w:val="es-ES"/>
        </w:rPr>
        <w:t>energética</w:t>
      </w:r>
      <w:r w:rsidR="00EF6AF7" w:rsidRPr="00291CCD">
        <w:rPr>
          <w:rFonts w:cs="Palatino-Roman"/>
          <w:lang w:val="es-ES"/>
        </w:rPr>
        <w:t xml:space="preserve"> de las Directrices del </w:t>
      </w:r>
      <w:r w:rsidRPr="00291CCD">
        <w:rPr>
          <w:rFonts w:cs="Palatino-Roman"/>
          <w:lang w:val="es-ES"/>
        </w:rPr>
        <w:t xml:space="preserve">IPCC </w:t>
      </w:r>
      <w:r w:rsidR="00EF6AF7" w:rsidRPr="00291CCD">
        <w:rPr>
          <w:rFonts w:cs="Palatino-Roman"/>
          <w:lang w:val="es-ES"/>
        </w:rPr>
        <w:t xml:space="preserve">para comprender los métodos </w:t>
      </w:r>
      <w:r w:rsidR="0005767E" w:rsidRPr="00291CCD">
        <w:rPr>
          <w:rFonts w:cs="Palatino-Roman"/>
          <w:lang w:val="es-ES"/>
        </w:rPr>
        <w:t>predeterminados</w:t>
      </w:r>
      <w:r w:rsidR="00C97D67" w:rsidRPr="00291CCD">
        <w:rPr>
          <w:rFonts w:cs="Palatino-Roman"/>
          <w:lang w:val="es-ES"/>
        </w:rPr>
        <w:t xml:space="preserve">, </w:t>
      </w:r>
      <w:r w:rsidR="00EF6AF7" w:rsidRPr="00291CCD">
        <w:rPr>
          <w:rFonts w:cs="Palatino-Roman"/>
          <w:lang w:val="es-ES"/>
        </w:rPr>
        <w:t xml:space="preserve">las </w:t>
      </w:r>
      <w:bookmarkStart w:id="0" w:name="_GoBack"/>
      <w:r w:rsidR="00EF6AF7" w:rsidRPr="00291CCD">
        <w:rPr>
          <w:rFonts w:cs="Palatino-Roman"/>
          <w:lang w:val="es-ES"/>
        </w:rPr>
        <w:t>fuentes de datos</w:t>
      </w:r>
      <w:r w:rsidR="00C97D67" w:rsidRPr="00291CCD">
        <w:rPr>
          <w:rFonts w:cs="Palatino-Roman"/>
          <w:lang w:val="es-ES"/>
        </w:rPr>
        <w:t>, QA/QC</w:t>
      </w:r>
      <w:r w:rsidR="00EF6AF7" w:rsidRPr="00291CCD">
        <w:rPr>
          <w:rFonts w:cs="Palatino-Roman"/>
          <w:lang w:val="es-ES"/>
        </w:rPr>
        <w:t xml:space="preserve"> básico</w:t>
      </w:r>
      <w:r w:rsidR="00C97D67" w:rsidRPr="00291CCD">
        <w:rPr>
          <w:rFonts w:cs="Palatino-Roman"/>
          <w:lang w:val="es-ES"/>
        </w:rPr>
        <w:t xml:space="preserve">, </w:t>
      </w:r>
      <w:r w:rsidR="00EF6AF7" w:rsidRPr="00291CCD">
        <w:rPr>
          <w:rFonts w:cs="Palatino-Roman"/>
          <w:lang w:val="es-ES"/>
        </w:rPr>
        <w:t xml:space="preserve">evaluación de </w:t>
      </w:r>
      <w:r w:rsidR="00552FC9" w:rsidRPr="00291CCD">
        <w:rPr>
          <w:rFonts w:cs="Palatino-Roman"/>
          <w:lang w:val="es-ES"/>
        </w:rPr>
        <w:t>incertidumbre</w:t>
      </w:r>
      <w:r w:rsidR="006F3F65" w:rsidRPr="00291CCD">
        <w:rPr>
          <w:rFonts w:cs="Palatino-Roman"/>
          <w:lang w:val="es-ES"/>
        </w:rPr>
        <w:t>,</w:t>
      </w:r>
      <w:r w:rsidR="00C97D67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>y procedimientos de reporte de resultados</w:t>
      </w:r>
      <w:r w:rsidR="00C97D67" w:rsidRPr="00291CCD">
        <w:rPr>
          <w:rFonts w:cs="Palatino-Roman"/>
          <w:lang w:val="es-ES"/>
        </w:rPr>
        <w:t xml:space="preserve">. </w:t>
      </w:r>
      <w:bookmarkEnd w:id="0"/>
      <w:r w:rsidR="00C97D67" w:rsidRPr="00291CCD">
        <w:rPr>
          <w:rFonts w:cs="Palatino-Roman"/>
          <w:lang w:val="es-ES"/>
        </w:rPr>
        <w:t>[</w:t>
      </w:r>
      <w:hyperlink r:id="rId14" w:history="1">
        <w:r w:rsidR="00013725">
          <w:rPr>
            <w:rStyle w:val="Hyperlink"/>
            <w:rFonts w:cs="Palatino-Roman"/>
            <w:lang w:val="es-ES"/>
          </w:rPr>
          <w:t xml:space="preserve">Directrices </w:t>
        </w:r>
        <w:r w:rsidR="00013725" w:rsidRPr="00013725">
          <w:rPr>
            <w:rStyle w:val="Hyperlink"/>
            <w:rFonts w:cs="Palatino-Roman"/>
            <w:lang w:val="es-ES"/>
          </w:rPr>
          <w:t xml:space="preserve">del </w:t>
        </w:r>
        <w:r w:rsidR="00013725">
          <w:rPr>
            <w:rStyle w:val="Hyperlink"/>
            <w:rFonts w:cs="Palatino-Roman"/>
            <w:lang w:val="es-ES"/>
          </w:rPr>
          <w:t>IPCC 2006</w:t>
        </w:r>
      </w:hyperlink>
      <w:r w:rsidR="00C97D67" w:rsidRPr="00291CCD">
        <w:rPr>
          <w:rFonts w:cs="Palatino-Roman"/>
          <w:lang w:val="es-ES"/>
        </w:rPr>
        <w:t xml:space="preserve">] </w:t>
      </w:r>
    </w:p>
    <w:p w:rsidR="002D013D" w:rsidRPr="00291CCD" w:rsidRDefault="00C97D67" w:rsidP="009D57A7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EF6AF7" w:rsidRPr="00291CCD">
        <w:rPr>
          <w:rFonts w:cs="Palatino-Roman"/>
          <w:lang w:val="es-ES"/>
        </w:rPr>
        <w:t xml:space="preserve">sar los materiales del manual de </w:t>
      </w:r>
      <w:r w:rsidR="002D013D" w:rsidRPr="00291CCD">
        <w:rPr>
          <w:rFonts w:cs="Palatino-Roman"/>
          <w:lang w:val="es-ES"/>
        </w:rPr>
        <w:t xml:space="preserve">UNFCCC </w:t>
      </w:r>
      <w:r w:rsidR="00EF6AF7" w:rsidRPr="00291CCD">
        <w:rPr>
          <w:rFonts w:cs="Palatino-Roman"/>
          <w:lang w:val="es-ES"/>
        </w:rPr>
        <w:t>para información adicional</w:t>
      </w:r>
      <w:r w:rsidRPr="00291CCD">
        <w:rPr>
          <w:rFonts w:cs="Palatino-Roman"/>
          <w:lang w:val="es-ES"/>
        </w:rPr>
        <w:t xml:space="preserve">. </w:t>
      </w:r>
      <w:r w:rsidR="002D013D" w:rsidRPr="00291CCD">
        <w:rPr>
          <w:rFonts w:cs="Palatino-Roman"/>
          <w:lang w:val="es-ES"/>
        </w:rPr>
        <w:t>[</w:t>
      </w:r>
      <w:hyperlink r:id="rId15" w:history="1">
        <w:r w:rsidR="00013725">
          <w:rPr>
            <w:rStyle w:val="Hyperlink"/>
            <w:rFonts w:cs="Palatino-Roman"/>
            <w:lang w:val="es-ES"/>
          </w:rPr>
          <w:t>Directrices UNFCC</w:t>
        </w:r>
      </w:hyperlink>
      <w:r w:rsidR="002D013D" w:rsidRPr="00291CCD">
        <w:rPr>
          <w:rFonts w:cs="Palatino-Roman"/>
          <w:lang w:val="es-ES"/>
        </w:rPr>
        <w:t>]</w:t>
      </w:r>
    </w:p>
    <w:p w:rsidR="00D746A9" w:rsidRPr="00291CCD" w:rsidRDefault="002D013D" w:rsidP="009D57A7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EF6AF7" w:rsidRPr="00291CCD">
        <w:rPr>
          <w:rFonts w:cs="Palatino-Roman"/>
          <w:lang w:val="es-ES"/>
        </w:rPr>
        <w:t xml:space="preserve">sar la </w:t>
      </w:r>
      <w:r w:rsidRPr="00291CCD">
        <w:rPr>
          <w:rFonts w:cs="Palatino-Roman"/>
          <w:lang w:val="es-ES"/>
        </w:rPr>
        <w:t>sec</w:t>
      </w:r>
      <w:r w:rsidR="00EF6AF7" w:rsidRPr="00291CCD">
        <w:rPr>
          <w:rFonts w:cs="Palatino-Roman"/>
          <w:lang w:val="es-ES"/>
        </w:rPr>
        <w:t>ción</w:t>
      </w:r>
      <w:r w:rsidR="000F711E">
        <w:rPr>
          <w:rFonts w:cs="Palatino-Roman"/>
          <w:lang w:val="es-ES"/>
        </w:rPr>
        <w:t xml:space="preserve"> </w:t>
      </w:r>
      <w:r w:rsidR="005D7C31">
        <w:rPr>
          <w:rFonts w:cs="Palatino-Roman"/>
          <w:lang w:val="es-ES"/>
        </w:rPr>
        <w:t>energética</w:t>
      </w:r>
      <w:r w:rsidR="00EF6AF7" w:rsidRPr="00291CCD">
        <w:rPr>
          <w:rFonts w:cs="Palatino-Roman"/>
          <w:lang w:val="es-ES"/>
        </w:rPr>
        <w:t xml:space="preserve"> del Inventario Nacional de Gases de Efecto Invernadero y demás informes que sean pertinentes para las estimaciones nacionales de </w:t>
      </w:r>
      <w:r w:rsidR="00F5601A" w:rsidRPr="00291CCD">
        <w:rPr>
          <w:rFonts w:cs="Palatino-Roman"/>
          <w:lang w:val="es-ES"/>
        </w:rPr>
        <w:t xml:space="preserve">GHG </w:t>
      </w:r>
      <w:r w:rsidR="00EF6AF7" w:rsidRPr="00291CCD">
        <w:rPr>
          <w:rFonts w:cs="Palatino-Roman"/>
          <w:lang w:val="es-ES"/>
        </w:rPr>
        <w:t xml:space="preserve">de este </w:t>
      </w:r>
      <w:r w:rsidR="00F5601A" w:rsidRPr="00291CCD">
        <w:rPr>
          <w:rFonts w:cs="Palatino-Roman"/>
          <w:lang w:val="es-ES"/>
        </w:rPr>
        <w:t xml:space="preserve">sector. </w:t>
      </w:r>
      <w:r w:rsidR="004101D0">
        <w:rPr>
          <w:rFonts w:cs="Palatino-Roman"/>
          <w:lang w:val="es-ES"/>
        </w:rPr>
        <w:t>Repasando la sección energética de los informes de inventarios GEI de otros países también puede ser informativo.</w:t>
      </w:r>
    </w:p>
    <w:p w:rsidR="002D013D" w:rsidRPr="00291CCD" w:rsidRDefault="00EF6AF7" w:rsidP="009D57A7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Entender qué categorías en el</w:t>
      </w:r>
      <w:r w:rsidR="005D7C31">
        <w:rPr>
          <w:rFonts w:cs="Palatino-Roman"/>
          <w:lang w:val="es-ES"/>
        </w:rPr>
        <w:t xml:space="preserve"> sector</w:t>
      </w:r>
      <w:r w:rsidRPr="00291CCD">
        <w:rPr>
          <w:rFonts w:cs="Palatino-Roman"/>
          <w:lang w:val="es-ES"/>
        </w:rPr>
        <w:t xml:space="preserve"> </w:t>
      </w:r>
      <w:r w:rsidR="00EC288F">
        <w:rPr>
          <w:rFonts w:cs="Palatino-Roman"/>
          <w:lang w:val="es-ES"/>
        </w:rPr>
        <w:t>energético</w:t>
      </w:r>
      <w:r w:rsidR="00244846" w:rsidRPr="00291CCD">
        <w:rPr>
          <w:rFonts w:cs="Palatino-Roman"/>
          <w:lang w:val="es-ES"/>
        </w:rPr>
        <w:t xml:space="preserve"> </w:t>
      </w:r>
      <w:r w:rsidRPr="00291CCD">
        <w:rPr>
          <w:rFonts w:cs="Palatino-Roman"/>
          <w:lang w:val="es-ES"/>
        </w:rPr>
        <w:t>se identificaron como categorías principales en el inventario anterior</w:t>
      </w:r>
      <w:r w:rsidR="002D013D" w:rsidRPr="00291CCD">
        <w:rPr>
          <w:rFonts w:cs="Palatino-Roman"/>
          <w:lang w:val="es-ES"/>
        </w:rPr>
        <w:t>.</w:t>
      </w:r>
    </w:p>
    <w:p w:rsidR="00244846" w:rsidRPr="000F711E" w:rsidRDefault="00244846" w:rsidP="009D57A7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EF6AF7" w:rsidRPr="00291CCD">
        <w:rPr>
          <w:rFonts w:cs="Palatino-Roman"/>
          <w:lang w:val="es-ES"/>
        </w:rPr>
        <w:t xml:space="preserve">sar la </w:t>
      </w:r>
      <w:r w:rsidR="00C22684" w:rsidRPr="00291CCD">
        <w:rPr>
          <w:rFonts w:cs="Palatino-Roman"/>
          <w:lang w:val="es-ES"/>
        </w:rPr>
        <w:t xml:space="preserve">Plantilla del Manual de la </w:t>
      </w:r>
      <w:r w:rsidRPr="00291CCD">
        <w:rPr>
          <w:rFonts w:cs="Palatino-Roman"/>
          <w:lang w:val="es-ES"/>
        </w:rPr>
        <w:t>EPA</w:t>
      </w:r>
      <w:r w:rsidR="00C22684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>sobre</w:t>
      </w:r>
      <w:r w:rsidRPr="00291CCD">
        <w:rPr>
          <w:rFonts w:cs="Palatino-Roman"/>
          <w:lang w:val="es-ES"/>
        </w:rPr>
        <w:t xml:space="preserve"> </w:t>
      </w:r>
      <w:r w:rsidR="0000787E">
        <w:rPr>
          <w:rFonts w:cs="Palatino-Roman"/>
          <w:i/>
          <w:lang w:val="es-ES"/>
        </w:rPr>
        <w:t>Desarrollando un Inventario Nacional de GEI</w:t>
      </w:r>
      <w:r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 xml:space="preserve">y </w:t>
      </w:r>
      <w:r w:rsidR="009D17F6" w:rsidRPr="00291CCD">
        <w:rPr>
          <w:rFonts w:cs="Palatino-Roman"/>
          <w:lang w:val="es-ES"/>
        </w:rPr>
        <w:t xml:space="preserve">los </w:t>
      </w:r>
      <w:r w:rsidR="00EF6AF7" w:rsidRPr="00291CCD">
        <w:rPr>
          <w:rFonts w:cs="Palatino-Roman"/>
          <w:lang w:val="es-ES"/>
        </w:rPr>
        <w:t xml:space="preserve">materiales adicionales de </w:t>
      </w:r>
      <w:r w:rsidR="009D17F6" w:rsidRPr="00291CCD">
        <w:rPr>
          <w:rFonts w:cs="Palatino-Roman"/>
          <w:lang w:val="es-ES"/>
        </w:rPr>
        <w:t>la Guía que se encuentran</w:t>
      </w:r>
      <w:r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>disponibles en el portal de Fortalecimiento de Capacidades para el desarrollo de Inventarios sobre Gases de Efecto Invernadero</w:t>
      </w:r>
      <w:r w:rsidR="006F3F65" w:rsidRPr="00291CCD">
        <w:rPr>
          <w:rFonts w:cs="Palatino-Roman"/>
          <w:lang w:val="es-ES"/>
        </w:rPr>
        <w:t>.</w:t>
      </w:r>
      <w:r w:rsidRPr="00291CCD">
        <w:rPr>
          <w:rFonts w:cs="Palatino-Roman"/>
          <w:lang w:val="es-ES"/>
        </w:rPr>
        <w:t xml:space="preserve"> </w:t>
      </w:r>
      <w:r w:rsidRPr="000F711E">
        <w:rPr>
          <w:rFonts w:cs="Palatino-Roman"/>
          <w:lang w:val="es-ES"/>
        </w:rPr>
        <w:t>[</w:t>
      </w:r>
      <w:hyperlink r:id="rId16" w:history="1">
        <w:r w:rsidR="000F711E" w:rsidRPr="000F711E">
          <w:rPr>
            <w:rStyle w:val="Hyperlink"/>
            <w:rFonts w:cs="Palatino-Roman"/>
            <w:lang w:val="es-ES"/>
          </w:rPr>
          <w:t>Guía del EPA y Fortalecimiento de Capacidades</w:t>
        </w:r>
      </w:hyperlink>
      <w:r w:rsidR="000F711E" w:rsidRPr="000F711E">
        <w:rPr>
          <w:rFonts w:cs="Palatino-Roman"/>
          <w:lang w:val="es-ES"/>
        </w:rPr>
        <w:t xml:space="preserve">, </w:t>
      </w:r>
      <w:hyperlink r:id="rId17" w:history="1">
        <w:r w:rsidR="000F711E" w:rsidRPr="000F711E">
          <w:rPr>
            <w:rStyle w:val="Hyperlink"/>
            <w:rFonts w:cs="Palatino-Roman"/>
            <w:lang w:val="es-ES"/>
          </w:rPr>
          <w:t>Portal de Fortalecimiento de Capacidades</w:t>
        </w:r>
      </w:hyperlink>
      <w:r w:rsidR="004B6B8C" w:rsidRPr="000F711E">
        <w:rPr>
          <w:rFonts w:cs="Palatino-Roman"/>
          <w:lang w:val="es-ES"/>
        </w:rPr>
        <w:t>]</w:t>
      </w:r>
    </w:p>
    <w:p w:rsidR="0087521A" w:rsidRPr="00291CCD" w:rsidRDefault="00F5601A" w:rsidP="009D57A7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U</w:t>
      </w:r>
      <w:r w:rsidR="00EF6AF7" w:rsidRPr="00291CCD">
        <w:rPr>
          <w:rFonts w:cs="Palatino-Roman"/>
          <w:lang w:val="es-ES"/>
        </w:rPr>
        <w:t xml:space="preserve">tilizar paquetes de </w:t>
      </w:r>
      <w:r w:rsidR="0087521A" w:rsidRPr="00291CCD">
        <w:rPr>
          <w:rFonts w:cs="Palatino-Roman"/>
          <w:lang w:val="es-ES"/>
        </w:rPr>
        <w:t>software</w:t>
      </w:r>
      <w:r w:rsidR="00D417AA" w:rsidRPr="00291CCD">
        <w:rPr>
          <w:rFonts w:cs="Palatino-Roman"/>
          <w:lang w:val="es-ES"/>
        </w:rPr>
        <w:t xml:space="preserve">, </w:t>
      </w:r>
      <w:r w:rsidR="00EF6AF7" w:rsidRPr="00291CCD">
        <w:rPr>
          <w:rFonts w:cs="Palatino-Roman"/>
          <w:lang w:val="es-ES"/>
        </w:rPr>
        <w:t>si fuera aplicable</w:t>
      </w:r>
      <w:r w:rsidR="00D417AA" w:rsidRPr="00291CCD">
        <w:rPr>
          <w:rFonts w:cs="Palatino-Roman"/>
          <w:lang w:val="es-ES"/>
        </w:rPr>
        <w:t>,</w:t>
      </w:r>
      <w:r w:rsidR="0087521A" w:rsidRPr="00291CCD">
        <w:rPr>
          <w:rFonts w:cs="Palatino-Roman"/>
          <w:lang w:val="es-ES"/>
        </w:rPr>
        <w:t xml:space="preserve"> </w:t>
      </w:r>
      <w:r w:rsidR="00EF6AF7" w:rsidRPr="00291CCD">
        <w:rPr>
          <w:rFonts w:cs="Palatino-Roman"/>
          <w:lang w:val="es-ES"/>
        </w:rPr>
        <w:t xml:space="preserve">que sean relevantes y útiles para este </w:t>
      </w:r>
      <w:r w:rsidR="00F8656A" w:rsidRPr="00291CCD">
        <w:rPr>
          <w:rFonts w:cs="Palatino-Roman"/>
          <w:lang w:val="es-ES"/>
        </w:rPr>
        <w:t xml:space="preserve">sector. </w:t>
      </w:r>
    </w:p>
    <w:p w:rsidR="00291CCD" w:rsidRPr="001060FE" w:rsidRDefault="00EF6AF7" w:rsidP="001060FE">
      <w:pPr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exact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Conocer el proceso de desarrollo de Comunicaciones Nacionales </w:t>
      </w:r>
      <w:r w:rsidR="00FA262A" w:rsidRPr="00291CCD">
        <w:rPr>
          <w:rFonts w:cs="Palatino-Roman"/>
          <w:lang w:val="es-ES"/>
        </w:rPr>
        <w:t>(NC)</w:t>
      </w:r>
      <w:r w:rsidR="00CF4716" w:rsidRPr="00291CCD">
        <w:rPr>
          <w:rFonts w:cs="Palatino-Roman"/>
          <w:lang w:val="es-ES"/>
        </w:rPr>
        <w:t>.</w:t>
      </w:r>
    </w:p>
    <w:p w:rsidR="000602E9" w:rsidRPr="004A5040" w:rsidRDefault="00A07F6F" w:rsidP="00A07F6F">
      <w:pPr>
        <w:pStyle w:val="Heading2"/>
        <w:pBdr>
          <w:top w:val="single" w:sz="8" w:space="1" w:color="1F497D" w:themeColor="text2"/>
          <w:left w:val="single" w:sz="8" w:space="4" w:color="1F497D" w:themeColor="text2"/>
          <w:bottom w:val="single" w:sz="8" w:space="1" w:color="1F497D" w:themeColor="text2"/>
          <w:right w:val="single" w:sz="8" w:space="4" w:color="1F497D" w:themeColor="text2"/>
        </w:pBdr>
        <w:shd w:val="clear" w:color="auto" w:fill="FABF8F" w:themeFill="accent6" w:themeFillTint="99"/>
        <w:spacing w:before="120" w:line="276" w:lineRule="auto"/>
        <w:jc w:val="both"/>
        <w:rPr>
          <w:lang w:val="es-ES"/>
        </w:rPr>
      </w:pPr>
      <w:r w:rsidRPr="004A5040">
        <w:rPr>
          <w:lang w:val="es-ES"/>
        </w:rPr>
        <w:lastRenderedPageBreak/>
        <w:t xml:space="preserve">Responsabilidades y Actividades del </w:t>
      </w:r>
      <w:r w:rsidR="000602E9" w:rsidRPr="004A5040">
        <w:rPr>
          <w:lang w:val="es-ES"/>
        </w:rPr>
        <w:t xml:space="preserve">Sector </w:t>
      </w:r>
      <w:r w:rsidR="00EC288F">
        <w:rPr>
          <w:lang w:val="es-ES"/>
        </w:rPr>
        <w:t>Energético</w:t>
      </w:r>
    </w:p>
    <w:p w:rsidR="008679E1" w:rsidRPr="00291CCD" w:rsidRDefault="008679E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7F1126">
        <w:rPr>
          <w:rFonts w:cs="Palatino-Roman"/>
          <w:lang w:val="es-ES"/>
        </w:rPr>
        <w:t>sar el documento</w:t>
      </w:r>
      <w:r w:rsidR="00A07F6F" w:rsidRPr="00291CCD">
        <w:rPr>
          <w:rFonts w:cs="Palatino-Roman"/>
          <w:lang w:val="es-ES"/>
        </w:rPr>
        <w:t xml:space="preserve"> </w:t>
      </w:r>
      <w:hyperlink r:id="rId18" w:history="1">
        <w:r w:rsidR="00B566A3">
          <w:rPr>
            <w:rStyle w:val="Hyperlink"/>
            <w:rFonts w:cs="Palatino-Roman"/>
            <w:i/>
            <w:lang w:val="es-ES"/>
          </w:rPr>
          <w:t>Directrices del IPCC</w:t>
        </w:r>
      </w:hyperlink>
      <w:r w:rsidRPr="00291CCD">
        <w:rPr>
          <w:rFonts w:cs="Palatino-Roman"/>
          <w:i/>
          <w:lang w:val="es-ES"/>
        </w:rPr>
        <w:t xml:space="preserve"> </w:t>
      </w:r>
      <w:r w:rsidR="00A07F6F" w:rsidRPr="00291CCD">
        <w:rPr>
          <w:rFonts w:cs="Palatino-Roman"/>
          <w:i/>
          <w:lang w:val="es-ES"/>
        </w:rPr>
        <w:t xml:space="preserve">para Inventarios Nacionales de Gases de Efecto Invernadero </w:t>
      </w:r>
      <w:r w:rsidR="00A07F6F" w:rsidRPr="00291CCD">
        <w:rPr>
          <w:rFonts w:cs="Palatino-Roman"/>
          <w:lang w:val="es-ES"/>
        </w:rPr>
        <w:t>y</w:t>
      </w:r>
      <w:r w:rsidR="00A07F6F" w:rsidRPr="00291CCD">
        <w:rPr>
          <w:rFonts w:cs="Palatino-Roman"/>
          <w:i/>
          <w:lang w:val="es-ES"/>
        </w:rPr>
        <w:t xml:space="preserve"> una Guía de Buenas Prácticas y Gestión de la Incertidumbre en </w:t>
      </w:r>
      <w:r w:rsidR="00352D6B" w:rsidRPr="00291CCD">
        <w:rPr>
          <w:rFonts w:cs="Palatino-Roman"/>
          <w:i/>
          <w:lang w:val="es-ES"/>
        </w:rPr>
        <w:t>Inventarios</w:t>
      </w:r>
      <w:r w:rsidR="00A07F6F" w:rsidRPr="00291CCD">
        <w:rPr>
          <w:rFonts w:cs="Palatino-Roman"/>
          <w:i/>
          <w:lang w:val="es-ES"/>
        </w:rPr>
        <w:t xml:space="preserve"> Nacionales de Gases de Efecto Invernadero</w:t>
      </w:r>
      <w:r w:rsidRPr="00291CCD">
        <w:rPr>
          <w:rFonts w:cs="Palatino-Roman"/>
          <w:i/>
          <w:lang w:val="es-ES"/>
        </w:rPr>
        <w:t>.</w:t>
      </w:r>
    </w:p>
    <w:p w:rsidR="008679E1" w:rsidRPr="00291CCD" w:rsidRDefault="00E54638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Entender las categorías de </w:t>
      </w:r>
      <w:r w:rsidR="008679E1" w:rsidRPr="00291CCD">
        <w:rPr>
          <w:rFonts w:cs="Palatino-Roman"/>
          <w:lang w:val="es-ES"/>
        </w:rPr>
        <w:t xml:space="preserve">GHG </w:t>
      </w:r>
      <w:r w:rsidR="009D5FDE">
        <w:rPr>
          <w:rFonts w:cs="Palatino-Roman"/>
          <w:lang w:val="es-ES"/>
        </w:rPr>
        <w:t xml:space="preserve">que son fuentes </w:t>
      </w:r>
      <w:r w:rsidRPr="00291CCD">
        <w:rPr>
          <w:rFonts w:cs="Palatino-Roman"/>
          <w:lang w:val="es-ES"/>
        </w:rPr>
        <w:t xml:space="preserve">en el </w:t>
      </w:r>
      <w:r w:rsidR="00FA262A" w:rsidRPr="00291CCD">
        <w:rPr>
          <w:rFonts w:cs="Palatino-Roman"/>
          <w:lang w:val="es-ES"/>
        </w:rPr>
        <w:t>sector</w:t>
      </w:r>
      <w:r w:rsidR="001D5D85">
        <w:rPr>
          <w:rFonts w:cs="Palatino-Roman"/>
          <w:lang w:val="es-ES"/>
        </w:rPr>
        <w:t xml:space="preserve"> </w:t>
      </w:r>
      <w:r w:rsidR="00EC288F">
        <w:rPr>
          <w:rFonts w:cs="Palatino-Roman"/>
          <w:lang w:val="es-ES"/>
        </w:rPr>
        <w:t>energético</w:t>
      </w:r>
      <w:r w:rsidR="008679E1" w:rsidRPr="00291CCD">
        <w:rPr>
          <w:rFonts w:cs="Palatino-Roman"/>
          <w:lang w:val="es-ES"/>
        </w:rPr>
        <w:t xml:space="preserve">. </w:t>
      </w:r>
    </w:p>
    <w:p w:rsidR="008679E1" w:rsidRPr="00291CCD" w:rsidRDefault="00E54638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Por lo menos, entender las metodologías de Nivel </w:t>
      </w:r>
      <w:r w:rsidR="008679E1" w:rsidRPr="00291CCD">
        <w:rPr>
          <w:rFonts w:cs="Palatino-Roman"/>
          <w:lang w:val="es-ES"/>
        </w:rPr>
        <w:t xml:space="preserve">1, </w:t>
      </w:r>
      <w:r w:rsidRPr="00291CCD">
        <w:rPr>
          <w:rFonts w:cs="Palatino-Roman"/>
          <w:lang w:val="es-ES"/>
        </w:rPr>
        <w:t>necesidades de datos</w:t>
      </w:r>
      <w:r w:rsidR="008679E1" w:rsidRPr="00291CCD">
        <w:rPr>
          <w:rFonts w:cs="Palatino-Roman"/>
          <w:lang w:val="es-ES"/>
        </w:rPr>
        <w:t xml:space="preserve">, </w:t>
      </w:r>
      <w:r w:rsidRPr="00291CCD">
        <w:rPr>
          <w:rFonts w:cs="Palatino-Roman"/>
          <w:lang w:val="es-ES"/>
        </w:rPr>
        <w:t xml:space="preserve">y otros requerimientos para el desarrollo de estimaciones de </w:t>
      </w:r>
      <w:r w:rsidR="008679E1" w:rsidRPr="00291CCD">
        <w:rPr>
          <w:rFonts w:cs="Palatino-Roman"/>
          <w:lang w:val="es-ES"/>
        </w:rPr>
        <w:t xml:space="preserve">GHG </w:t>
      </w:r>
      <w:r w:rsidRPr="00291CCD">
        <w:rPr>
          <w:rFonts w:cs="Palatino-Roman"/>
          <w:lang w:val="es-ES"/>
        </w:rPr>
        <w:t xml:space="preserve">para el </w:t>
      </w:r>
      <w:r w:rsidR="00FA262A" w:rsidRPr="00291CCD">
        <w:rPr>
          <w:rFonts w:cs="Palatino-Roman"/>
          <w:lang w:val="es-ES"/>
        </w:rPr>
        <w:t>sector</w:t>
      </w:r>
      <w:r w:rsidR="001D5D85">
        <w:rPr>
          <w:rFonts w:cs="Palatino-Roman"/>
          <w:lang w:val="es-ES"/>
        </w:rPr>
        <w:t xml:space="preserve"> </w:t>
      </w:r>
      <w:r w:rsidR="00EC288F">
        <w:rPr>
          <w:rFonts w:cs="Palatino-Roman"/>
          <w:lang w:val="es-ES"/>
        </w:rPr>
        <w:t>energético</w:t>
      </w:r>
      <w:r w:rsidR="00F75701" w:rsidRPr="00291CCD">
        <w:rPr>
          <w:rFonts w:cs="Palatino-Roman"/>
          <w:lang w:val="es-ES"/>
        </w:rPr>
        <w:t xml:space="preserve">, </w:t>
      </w:r>
      <w:r w:rsidRPr="00291CCD">
        <w:rPr>
          <w:rFonts w:cs="Palatino-Roman"/>
          <w:lang w:val="es-ES"/>
        </w:rPr>
        <w:t xml:space="preserve">y familiarizarse con las mismas para el Nivel </w:t>
      </w:r>
      <w:r w:rsidR="00F75701" w:rsidRPr="00291CCD">
        <w:rPr>
          <w:rFonts w:cs="Palatino-Roman"/>
          <w:lang w:val="es-ES"/>
        </w:rPr>
        <w:t>2</w:t>
      </w:r>
      <w:r w:rsidR="008679E1" w:rsidRPr="00291CCD">
        <w:rPr>
          <w:rFonts w:cs="Palatino-Roman"/>
          <w:lang w:val="es-ES"/>
        </w:rPr>
        <w:t xml:space="preserve">. </w:t>
      </w:r>
    </w:p>
    <w:p w:rsidR="001060FE" w:rsidRDefault="008679E1" w:rsidP="001060FE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Col</w:t>
      </w:r>
      <w:r w:rsidR="00E07E0B" w:rsidRPr="00291CCD">
        <w:rPr>
          <w:rFonts w:cs="Palatino-Roman"/>
          <w:lang w:val="es-ES"/>
        </w:rPr>
        <w:t xml:space="preserve">aborar con el </w:t>
      </w:r>
      <w:r w:rsidRPr="00291CCD">
        <w:rPr>
          <w:rFonts w:cs="Palatino-Roman"/>
          <w:lang w:val="es-ES"/>
        </w:rPr>
        <w:t xml:space="preserve">NIC </w:t>
      </w:r>
      <w:r w:rsidR="00E07E0B" w:rsidRPr="00291CCD">
        <w:rPr>
          <w:rFonts w:cs="Palatino-Roman"/>
          <w:lang w:val="es-ES"/>
        </w:rPr>
        <w:t xml:space="preserve">para administrar el presupuesto del </w:t>
      </w:r>
      <w:r w:rsidRPr="00291CCD">
        <w:rPr>
          <w:rFonts w:cs="Palatino-Roman"/>
          <w:lang w:val="es-ES"/>
        </w:rPr>
        <w:t xml:space="preserve">sector </w:t>
      </w:r>
      <w:r w:rsidR="00EC288F">
        <w:rPr>
          <w:rFonts w:cs="Palatino-Roman"/>
          <w:lang w:val="es-ES"/>
        </w:rPr>
        <w:t>energético</w:t>
      </w:r>
      <w:r w:rsidR="001D5D85">
        <w:rPr>
          <w:rFonts w:cs="Palatino-Roman"/>
          <w:lang w:val="es-ES"/>
        </w:rPr>
        <w:t xml:space="preserve"> y desarrollar un </w:t>
      </w:r>
      <w:r w:rsidR="00E07E0B" w:rsidRPr="00291CCD">
        <w:rPr>
          <w:rFonts w:cs="Palatino-Roman"/>
          <w:lang w:val="es-ES"/>
        </w:rPr>
        <w:t xml:space="preserve">plan de trabajo y cronograma específico por sector que coincida con los entregables reconocidos en el Cronograma de Inventarios </w:t>
      </w:r>
      <w:r w:rsidR="00E07E0B" w:rsidRPr="001060FE">
        <w:rPr>
          <w:rFonts w:cs="Palatino-Roman"/>
          <w:lang w:val="es-ES"/>
        </w:rPr>
        <w:t>Nacionales</w:t>
      </w:r>
      <w:r w:rsidRPr="001060FE">
        <w:rPr>
          <w:rFonts w:cs="Palatino-Roman"/>
          <w:lang w:val="es-ES"/>
        </w:rPr>
        <w:t xml:space="preserve"> </w:t>
      </w:r>
      <w:r w:rsidR="00D001EF" w:rsidRPr="001060FE">
        <w:rPr>
          <w:rFonts w:cs="Palatino-Roman"/>
          <w:lang w:val="es-ES"/>
        </w:rPr>
        <w:t>completo</w:t>
      </w:r>
      <w:r w:rsidRPr="001060FE">
        <w:rPr>
          <w:rFonts w:cs="Palatino-Roman"/>
          <w:lang w:val="es-ES"/>
        </w:rPr>
        <w:t xml:space="preserve">. </w:t>
      </w:r>
    </w:p>
    <w:p w:rsidR="001D5D85" w:rsidRPr="001060FE" w:rsidRDefault="008679E1" w:rsidP="001060FE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1060FE">
        <w:rPr>
          <w:rFonts w:cs="Palatino-Roman"/>
          <w:lang w:val="es-ES"/>
        </w:rPr>
        <w:t>De</w:t>
      </w:r>
      <w:r w:rsidR="00E600EE" w:rsidRPr="001060FE">
        <w:rPr>
          <w:rFonts w:cs="Palatino-Roman"/>
          <w:lang w:val="es-ES"/>
        </w:rPr>
        <w:t xml:space="preserve">sarrollar e implementar un plan específico </w:t>
      </w:r>
      <w:r w:rsidR="006206DB" w:rsidRPr="001060FE">
        <w:rPr>
          <w:rFonts w:cs="Palatino-Roman"/>
          <w:lang w:val="es-ES"/>
        </w:rPr>
        <w:t xml:space="preserve">para el sector </w:t>
      </w:r>
      <w:r w:rsidR="00EC288F" w:rsidRPr="001060FE">
        <w:rPr>
          <w:rFonts w:cs="Palatino-Roman"/>
          <w:lang w:val="es-ES"/>
        </w:rPr>
        <w:t>energético</w:t>
      </w:r>
      <w:r w:rsidR="00E600EE" w:rsidRPr="001060FE">
        <w:rPr>
          <w:rFonts w:cs="Palatino-Roman"/>
          <w:lang w:val="es-ES"/>
        </w:rPr>
        <w:t xml:space="preserve"> para archivar toda la información y materiales relevantes</w:t>
      </w:r>
      <w:r w:rsidRPr="001060FE">
        <w:rPr>
          <w:rFonts w:cs="Palatino-Roman"/>
          <w:lang w:val="es-ES"/>
        </w:rPr>
        <w:t xml:space="preserve">, </w:t>
      </w:r>
      <w:r w:rsidR="00E600EE" w:rsidRPr="001060FE">
        <w:rPr>
          <w:rFonts w:cs="Palatino-Roman"/>
          <w:lang w:val="es-ES"/>
        </w:rPr>
        <w:t xml:space="preserve">en coordinación con </w:t>
      </w:r>
      <w:r w:rsidR="0021319F" w:rsidRPr="001060FE">
        <w:rPr>
          <w:rFonts w:cs="Palatino-Roman"/>
          <w:lang w:val="es-ES"/>
        </w:rPr>
        <w:t xml:space="preserve">el coordinador de archivos y </w:t>
      </w:r>
      <w:r w:rsidR="00D001EF" w:rsidRPr="001060FE">
        <w:rPr>
          <w:rFonts w:cs="Palatino-Roman"/>
          <w:lang w:val="es-ES"/>
        </w:rPr>
        <w:t xml:space="preserve">con sujeción a cualquier material que exista en la guía archivada </w:t>
      </w:r>
      <w:r w:rsidR="0021319F" w:rsidRPr="001060FE">
        <w:rPr>
          <w:rFonts w:cs="Palatino-Roman"/>
          <w:lang w:val="es-ES"/>
        </w:rPr>
        <w:t>para su inventario nacional</w:t>
      </w:r>
      <w:r w:rsidRPr="001060FE">
        <w:rPr>
          <w:rFonts w:cs="Palatino-Roman"/>
          <w:lang w:val="es-ES"/>
        </w:rPr>
        <w:t xml:space="preserve">. </w:t>
      </w:r>
    </w:p>
    <w:p w:rsidR="008679E1" w:rsidRPr="00291CCD" w:rsidRDefault="00FC20AA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Supervisar</w:t>
      </w:r>
      <w:r w:rsidR="004459C3">
        <w:rPr>
          <w:rFonts w:cs="Palatino-Roman"/>
          <w:lang w:val="es-ES"/>
        </w:rPr>
        <w:t xml:space="preserve"> </w:t>
      </w:r>
      <w:r w:rsidR="00D001EF" w:rsidRPr="00291CCD">
        <w:rPr>
          <w:rFonts w:cs="Palatino-Roman"/>
          <w:lang w:val="es-ES"/>
        </w:rPr>
        <w:t>la implementación</w:t>
      </w:r>
      <w:r w:rsidR="008679E1" w:rsidRPr="00291CCD">
        <w:rPr>
          <w:rFonts w:cs="Palatino-Roman"/>
          <w:lang w:val="es-ES"/>
        </w:rPr>
        <w:t xml:space="preserve"> </w:t>
      </w:r>
      <w:r w:rsidR="0021319F" w:rsidRPr="00291CCD">
        <w:rPr>
          <w:rFonts w:cs="Palatino-Roman"/>
          <w:lang w:val="es-ES"/>
        </w:rPr>
        <w:t xml:space="preserve">y </w:t>
      </w:r>
      <w:r w:rsidR="00D001EF" w:rsidRPr="00291CCD">
        <w:rPr>
          <w:rFonts w:cs="Palatino-Roman"/>
          <w:lang w:val="es-ES"/>
        </w:rPr>
        <w:t xml:space="preserve">los </w:t>
      </w:r>
      <w:r w:rsidR="0021319F" w:rsidRPr="00291CCD">
        <w:rPr>
          <w:rFonts w:cs="Palatino-Roman"/>
          <w:lang w:val="es-ES"/>
        </w:rPr>
        <w:t xml:space="preserve">acuerdos entre los recopiladores de datos del sector </w:t>
      </w:r>
      <w:r w:rsidR="00EC288F">
        <w:rPr>
          <w:rFonts w:cs="Palatino-Roman"/>
          <w:lang w:val="es-ES"/>
        </w:rPr>
        <w:t>energético</w:t>
      </w:r>
      <w:r w:rsidR="001D5D85">
        <w:rPr>
          <w:rFonts w:cs="Palatino-Roman"/>
          <w:lang w:val="es-ES"/>
        </w:rPr>
        <w:t xml:space="preserve"> </w:t>
      </w:r>
      <w:r w:rsidR="0021319F" w:rsidRPr="00291CCD">
        <w:rPr>
          <w:rFonts w:cs="Palatino-Roman"/>
          <w:lang w:val="es-ES"/>
        </w:rPr>
        <w:t>y proveedores de datos</w:t>
      </w:r>
      <w:r w:rsidR="000349B4" w:rsidRPr="00291CCD">
        <w:rPr>
          <w:rFonts w:cs="Palatino-Roman"/>
          <w:lang w:val="es-ES"/>
        </w:rPr>
        <w:t xml:space="preserve"> subcontratados</w:t>
      </w:r>
      <w:r w:rsidR="008679E1" w:rsidRPr="00291CCD">
        <w:rPr>
          <w:rFonts w:cs="Palatino-Roman"/>
          <w:lang w:val="es-ES"/>
        </w:rPr>
        <w:t xml:space="preserve">. </w:t>
      </w:r>
    </w:p>
    <w:p w:rsidR="008679E1" w:rsidRPr="001060FE" w:rsidRDefault="00FC20AA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Si fuera necesario</w:t>
      </w:r>
      <w:r w:rsidR="008679E1" w:rsidRPr="00291CCD">
        <w:rPr>
          <w:rFonts w:cs="Palatino-Roman"/>
          <w:lang w:val="es-ES"/>
        </w:rPr>
        <w:t xml:space="preserve">, </w:t>
      </w:r>
      <w:r w:rsidRPr="00291CCD">
        <w:rPr>
          <w:rFonts w:cs="Palatino-Roman"/>
          <w:lang w:val="es-ES"/>
        </w:rPr>
        <w:t xml:space="preserve">desarrollar acuerdos como Memorandos de Entendimiento </w:t>
      </w:r>
      <w:r w:rsidR="008679E1" w:rsidRPr="00291CCD">
        <w:rPr>
          <w:rFonts w:cs="Palatino-Roman"/>
          <w:lang w:val="es-ES"/>
        </w:rPr>
        <w:t xml:space="preserve">(MOU) </w:t>
      </w:r>
      <w:r w:rsidRPr="00291CCD">
        <w:rPr>
          <w:rFonts w:cs="Palatino-Roman"/>
          <w:lang w:val="es-ES"/>
        </w:rPr>
        <w:t xml:space="preserve">con las </w:t>
      </w:r>
      <w:r w:rsidRPr="001060FE">
        <w:rPr>
          <w:rFonts w:cs="Palatino-Roman"/>
          <w:lang w:val="es-ES"/>
        </w:rPr>
        <w:t xml:space="preserve">organizaciones necesarias </w:t>
      </w:r>
      <w:r w:rsidR="004101D0">
        <w:rPr>
          <w:rFonts w:cs="Palatino-Roman"/>
          <w:lang w:val="es-ES"/>
        </w:rPr>
        <w:t xml:space="preserve">(p.ej. el Ministerio de Energía/Transporte y universidades) </w:t>
      </w:r>
      <w:r w:rsidRPr="001060FE">
        <w:rPr>
          <w:rFonts w:cs="Palatino-Roman"/>
          <w:lang w:val="es-ES"/>
        </w:rPr>
        <w:t xml:space="preserve">para prestar asistencia en las actividades requeridas por el </w:t>
      </w:r>
      <w:r w:rsidR="00D14E2F" w:rsidRPr="001060FE">
        <w:rPr>
          <w:rFonts w:cs="Palatino-Roman"/>
          <w:lang w:val="es-ES"/>
        </w:rPr>
        <w:t>jefe</w:t>
      </w:r>
      <w:r w:rsidRPr="001060FE">
        <w:rPr>
          <w:rFonts w:cs="Palatino-Roman"/>
          <w:lang w:val="es-ES"/>
        </w:rPr>
        <w:t xml:space="preserve"> del </w:t>
      </w:r>
      <w:r w:rsidR="00756C7B" w:rsidRPr="001060FE">
        <w:rPr>
          <w:rFonts w:cs="Palatino-Roman"/>
          <w:lang w:val="es-ES"/>
        </w:rPr>
        <w:t>s</w:t>
      </w:r>
      <w:r w:rsidR="008679E1" w:rsidRPr="001060FE">
        <w:rPr>
          <w:rFonts w:cs="Palatino-Roman"/>
          <w:lang w:val="es-ES"/>
        </w:rPr>
        <w:t>ector</w:t>
      </w:r>
      <w:r w:rsidR="00D14E2F" w:rsidRPr="001060FE">
        <w:rPr>
          <w:rFonts w:cs="Palatino-Roman"/>
          <w:lang w:val="es-ES"/>
        </w:rPr>
        <w:t xml:space="preserve"> </w:t>
      </w:r>
      <w:r w:rsidR="00EC288F" w:rsidRPr="001060FE">
        <w:rPr>
          <w:rFonts w:cs="Palatino-Roman"/>
          <w:lang w:val="es-ES"/>
        </w:rPr>
        <w:t>energético</w:t>
      </w:r>
      <w:r w:rsidR="008679E1" w:rsidRPr="001060FE">
        <w:rPr>
          <w:rFonts w:cs="Palatino-Roman"/>
          <w:lang w:val="es-ES"/>
        </w:rPr>
        <w:t xml:space="preserve"> (</w:t>
      </w:r>
      <w:r w:rsidRPr="001060FE">
        <w:rPr>
          <w:rFonts w:cs="Palatino-Roman"/>
          <w:lang w:val="es-ES"/>
        </w:rPr>
        <w:t xml:space="preserve">por </w:t>
      </w:r>
      <w:r w:rsidR="008679E1" w:rsidRPr="001060FE">
        <w:rPr>
          <w:rFonts w:cs="Palatino-Roman"/>
          <w:lang w:val="es-ES"/>
        </w:rPr>
        <w:t>e</w:t>
      </w:r>
      <w:r w:rsidRPr="001060FE">
        <w:rPr>
          <w:rFonts w:cs="Palatino-Roman"/>
          <w:lang w:val="es-ES"/>
        </w:rPr>
        <w:t>j.,</w:t>
      </w:r>
      <w:r w:rsidR="008679E1" w:rsidRPr="001060FE">
        <w:rPr>
          <w:rFonts w:cs="Palatino-Roman"/>
          <w:lang w:val="es-ES"/>
        </w:rPr>
        <w:t xml:space="preserve"> </w:t>
      </w:r>
      <w:r w:rsidRPr="001060FE">
        <w:rPr>
          <w:rFonts w:cs="Palatino-Roman"/>
          <w:lang w:val="es-ES"/>
        </w:rPr>
        <w:t>recopilación de datos</w:t>
      </w:r>
      <w:r w:rsidR="008679E1" w:rsidRPr="001060FE">
        <w:rPr>
          <w:rFonts w:cs="Palatino-Roman"/>
          <w:lang w:val="es-ES"/>
        </w:rPr>
        <w:t xml:space="preserve">, </w:t>
      </w:r>
      <w:r w:rsidRPr="001060FE">
        <w:rPr>
          <w:rFonts w:cs="Palatino-Roman"/>
          <w:lang w:val="es-ES"/>
        </w:rPr>
        <w:t xml:space="preserve">generación de estimaciones de </w:t>
      </w:r>
      <w:r w:rsidR="008679E1" w:rsidRPr="001060FE">
        <w:rPr>
          <w:rFonts w:cs="Palatino-Roman"/>
          <w:lang w:val="es-ES"/>
        </w:rPr>
        <w:t xml:space="preserve">GHG), </w:t>
      </w:r>
      <w:r w:rsidRPr="001060FE">
        <w:rPr>
          <w:rFonts w:cs="Palatino-Roman"/>
          <w:lang w:val="es-ES"/>
        </w:rPr>
        <w:t>según sea apropiado</w:t>
      </w:r>
      <w:r w:rsidR="008679E1" w:rsidRPr="001060FE">
        <w:rPr>
          <w:rFonts w:cs="Palatino-Roman"/>
          <w:lang w:val="es-ES"/>
        </w:rPr>
        <w:t xml:space="preserve">. </w:t>
      </w:r>
    </w:p>
    <w:p w:rsidR="0080163D" w:rsidRDefault="0080163D" w:rsidP="0080163D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Desarrollar Planes de Trabajo (SOW) para </w:t>
      </w:r>
      <w:r>
        <w:rPr>
          <w:rFonts w:cs="Palatino-Roman"/>
          <w:lang w:val="es-ES"/>
        </w:rPr>
        <w:t xml:space="preserve">atraer </w:t>
      </w:r>
      <w:r w:rsidRPr="00291CCD">
        <w:rPr>
          <w:rFonts w:cs="Palatino-Roman"/>
          <w:lang w:val="es-ES"/>
        </w:rPr>
        <w:t xml:space="preserve">contratistas y/o expertos del </w:t>
      </w:r>
      <w:r>
        <w:rPr>
          <w:rFonts w:cs="Palatino-Roman"/>
          <w:lang w:val="es-ES"/>
        </w:rPr>
        <w:t>sector. A</w:t>
      </w:r>
      <w:r w:rsidRPr="00291CCD">
        <w:rPr>
          <w:rFonts w:cs="Palatino-Roman"/>
          <w:lang w:val="es-ES"/>
        </w:rPr>
        <w:t>dministrar el trabajo que se está llevando a cabo conforme a dichos contratos a fin de garantizar que se cumpla con los requerimientos y necesidades de su sector de inventarios de GHG.</w:t>
      </w:r>
    </w:p>
    <w:p w:rsidR="00D14E2F" w:rsidRDefault="001060FE" w:rsidP="001060FE">
      <w:pPr>
        <w:numPr>
          <w:ilvl w:val="0"/>
          <w:numId w:val="8"/>
        </w:numPr>
        <w:tabs>
          <w:tab w:val="clear" w:pos="81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>
        <w:rPr>
          <w:rFonts w:cs="Palatino-Roman"/>
          <w:lang w:val="es-ES"/>
        </w:rPr>
        <w:t>Coordinar con los proveedores de datos energéticos sobre los combustibles fósiles para determinar cómo se ha consumido y ha generado electricidad</w:t>
      </w:r>
      <w:r w:rsidR="001A7D33">
        <w:rPr>
          <w:rFonts w:cs="Palatino-Roman"/>
          <w:lang w:val="es-ES"/>
        </w:rPr>
        <w:t xml:space="preserve"> para cada categoría (p.ej. industria energética, fabricación, y otros sectores).</w:t>
      </w:r>
    </w:p>
    <w:p w:rsidR="001A7D33" w:rsidRDefault="001A7D33" w:rsidP="001060FE">
      <w:pPr>
        <w:numPr>
          <w:ilvl w:val="0"/>
          <w:numId w:val="8"/>
        </w:numPr>
        <w:tabs>
          <w:tab w:val="clear" w:pos="81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>
        <w:rPr>
          <w:rFonts w:cs="Palatino-Roman"/>
          <w:lang w:val="es-ES"/>
        </w:rPr>
        <w:t>Coordinar con el líder del sector del proceso industrial para determinar si se va a necesitar ajustes en los datos detallando actividad de combustibles fósiles.</w:t>
      </w:r>
    </w:p>
    <w:p w:rsidR="001A7D33" w:rsidRPr="001060FE" w:rsidRDefault="001A7D33" w:rsidP="001060FE">
      <w:pPr>
        <w:numPr>
          <w:ilvl w:val="0"/>
          <w:numId w:val="8"/>
        </w:numPr>
        <w:tabs>
          <w:tab w:val="clear" w:pos="81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>
        <w:rPr>
          <w:rFonts w:cs="Palatino-Roman"/>
          <w:lang w:val="es-ES"/>
        </w:rPr>
        <w:t>Coordinar con el líder del sector de agua para determinar la cantidad de desechos incinerados para la generación eléctrica.</w:t>
      </w:r>
    </w:p>
    <w:p w:rsidR="008679E1" w:rsidRPr="00291CCD" w:rsidRDefault="0026389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1060FE">
        <w:rPr>
          <w:rFonts w:cs="Palatino-Roman"/>
          <w:lang w:val="es-ES"/>
        </w:rPr>
        <w:t>Consider</w:t>
      </w:r>
      <w:r w:rsidR="001E10DF" w:rsidRPr="001060FE">
        <w:rPr>
          <w:rFonts w:cs="Palatino-Roman"/>
          <w:lang w:val="es-ES"/>
        </w:rPr>
        <w:t>ar las potenciales mejoras identificadas en el inventario anterior para este sector y evaluar si se puede o no implementar mejora</w:t>
      </w:r>
      <w:r w:rsidR="000349B4" w:rsidRPr="001060FE">
        <w:rPr>
          <w:rFonts w:cs="Palatino-Roman"/>
          <w:lang w:val="es-ES"/>
        </w:rPr>
        <w:t>s</w:t>
      </w:r>
      <w:r w:rsidR="001E10DF" w:rsidRPr="001060FE">
        <w:rPr>
          <w:rFonts w:cs="Palatino-Roman"/>
          <w:lang w:val="es-ES"/>
        </w:rPr>
        <w:t xml:space="preserve"> sobre la base de la contribución a todas las emisiones nacionales </w:t>
      </w:r>
      <w:r w:rsidR="001541F8" w:rsidRPr="001060FE">
        <w:rPr>
          <w:rFonts w:cs="Palatino-Roman"/>
          <w:lang w:val="es-ES"/>
        </w:rPr>
        <w:t>(</w:t>
      </w:r>
      <w:r w:rsidR="001E10DF" w:rsidRPr="001060FE">
        <w:rPr>
          <w:rFonts w:cs="Palatino-Roman"/>
          <w:lang w:val="es-ES"/>
        </w:rPr>
        <w:t>realizando un Análisis de Categorías</w:t>
      </w:r>
      <w:r w:rsidR="001E10DF" w:rsidRPr="00291CCD">
        <w:rPr>
          <w:rFonts w:cs="Palatino-Roman"/>
          <w:lang w:val="es-ES"/>
        </w:rPr>
        <w:t xml:space="preserve"> Principales</w:t>
      </w:r>
      <w:r w:rsidR="001541F8" w:rsidRPr="00291CCD">
        <w:rPr>
          <w:rFonts w:cs="Palatino-Roman"/>
          <w:lang w:val="es-ES"/>
        </w:rPr>
        <w:t>)</w:t>
      </w:r>
      <w:r w:rsidR="00F75701" w:rsidRPr="00291CCD">
        <w:rPr>
          <w:rFonts w:cs="Palatino-Roman"/>
          <w:lang w:val="es-ES"/>
        </w:rPr>
        <w:t xml:space="preserve"> </w:t>
      </w:r>
      <w:r w:rsidR="001E10DF" w:rsidRPr="00291CCD">
        <w:rPr>
          <w:rFonts w:cs="Palatino-Roman"/>
          <w:lang w:val="es-ES"/>
        </w:rPr>
        <w:t>y la disponibilidad de recursos</w:t>
      </w:r>
      <w:r w:rsidR="008679E1" w:rsidRPr="00291CCD">
        <w:rPr>
          <w:rFonts w:cs="Palatino-Roman"/>
          <w:lang w:val="es-ES"/>
        </w:rPr>
        <w:t xml:space="preserve">. </w:t>
      </w:r>
    </w:p>
    <w:p w:rsidR="008679E1" w:rsidRPr="00291CCD" w:rsidRDefault="006C4389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60" w:after="60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Supervisar el desarrollo de estimaciones de </w:t>
      </w:r>
      <w:r w:rsidR="008679E1" w:rsidRPr="00291CCD">
        <w:rPr>
          <w:rFonts w:cs="Palatino-Roman"/>
          <w:lang w:val="es-ES"/>
        </w:rPr>
        <w:t xml:space="preserve">GHG </w:t>
      </w:r>
      <w:r w:rsidRPr="00291CCD">
        <w:rPr>
          <w:rFonts w:cs="Palatino-Roman"/>
          <w:lang w:val="es-ES"/>
        </w:rPr>
        <w:t xml:space="preserve">de todas las categorías en el </w:t>
      </w:r>
      <w:r w:rsidR="008679E1" w:rsidRPr="00291CCD">
        <w:rPr>
          <w:rFonts w:cs="Palatino-Roman"/>
          <w:lang w:val="es-ES"/>
        </w:rPr>
        <w:t>sector</w:t>
      </w:r>
      <w:r w:rsidR="00D14E2F">
        <w:rPr>
          <w:rFonts w:cs="Palatino-Roman"/>
          <w:lang w:val="es-ES"/>
        </w:rPr>
        <w:t xml:space="preserve"> </w:t>
      </w:r>
      <w:r w:rsidR="00EC288F">
        <w:rPr>
          <w:rFonts w:cs="Palatino-Roman"/>
          <w:lang w:val="es-ES"/>
        </w:rPr>
        <w:t>energético</w:t>
      </w:r>
      <w:r w:rsidR="008679E1" w:rsidRPr="00291CCD">
        <w:rPr>
          <w:rFonts w:cs="Palatino-Roman"/>
          <w:lang w:val="es-ES"/>
        </w:rPr>
        <w:t>.</w:t>
      </w:r>
    </w:p>
    <w:p w:rsidR="008679E1" w:rsidRPr="001A7D33" w:rsidRDefault="008679E1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Determin</w:t>
      </w:r>
      <w:r w:rsidR="006C4389" w:rsidRPr="00291CCD">
        <w:rPr>
          <w:rFonts w:cs="Palatino-Roman"/>
          <w:lang w:val="es-ES"/>
        </w:rPr>
        <w:t>ar la</w:t>
      </w:r>
      <w:r w:rsidR="005F3929" w:rsidRPr="00291CCD">
        <w:rPr>
          <w:rFonts w:cs="Palatino-Roman"/>
          <w:lang w:val="es-ES"/>
        </w:rPr>
        <w:t>s</w:t>
      </w:r>
      <w:r w:rsidR="006C4389" w:rsidRPr="00291CCD">
        <w:rPr>
          <w:rFonts w:cs="Palatino-Roman"/>
          <w:lang w:val="es-ES"/>
        </w:rPr>
        <w:t xml:space="preserve"> metodologías del </w:t>
      </w:r>
      <w:r w:rsidRPr="00291CCD">
        <w:rPr>
          <w:rFonts w:cs="Palatino-Roman"/>
          <w:lang w:val="es-ES"/>
        </w:rPr>
        <w:t xml:space="preserve">IPCC </w:t>
      </w:r>
      <w:r w:rsidR="006C4389" w:rsidRPr="00291CCD">
        <w:rPr>
          <w:rFonts w:cs="Palatino-Roman"/>
          <w:lang w:val="es-ES"/>
        </w:rPr>
        <w:t>más apropiada</w:t>
      </w:r>
      <w:r w:rsidR="006515FA" w:rsidRPr="00291CCD">
        <w:rPr>
          <w:rFonts w:cs="Palatino-Roman"/>
          <w:lang w:val="es-ES"/>
        </w:rPr>
        <w:t>s</w:t>
      </w:r>
      <w:r w:rsidR="006C4389" w:rsidRPr="00291CCD">
        <w:rPr>
          <w:rFonts w:cs="Palatino-Roman"/>
          <w:lang w:val="es-ES"/>
        </w:rPr>
        <w:t xml:space="preserve"> que deba</w:t>
      </w:r>
      <w:r w:rsidR="006515FA" w:rsidRPr="00291CCD">
        <w:rPr>
          <w:rFonts w:cs="Palatino-Roman"/>
          <w:lang w:val="es-ES"/>
        </w:rPr>
        <w:t>n</w:t>
      </w:r>
      <w:r w:rsidR="006C4389" w:rsidRPr="00291CCD">
        <w:rPr>
          <w:rFonts w:cs="Palatino-Roman"/>
          <w:lang w:val="es-ES"/>
        </w:rPr>
        <w:t xml:space="preserve"> ser utilizada</w:t>
      </w:r>
      <w:r w:rsidR="006515FA" w:rsidRPr="00291CCD">
        <w:rPr>
          <w:rFonts w:cs="Palatino-Roman"/>
          <w:lang w:val="es-ES"/>
        </w:rPr>
        <w:t>s</w:t>
      </w:r>
      <w:r w:rsidR="006C4389" w:rsidRPr="00291CCD">
        <w:rPr>
          <w:rFonts w:cs="Palatino-Roman"/>
          <w:lang w:val="es-ES"/>
        </w:rPr>
        <w:t xml:space="preserve"> para </w:t>
      </w:r>
      <w:r w:rsidR="006515FA" w:rsidRPr="00291CCD">
        <w:rPr>
          <w:rFonts w:cs="Palatino-Roman"/>
          <w:lang w:val="es-ES"/>
        </w:rPr>
        <w:t xml:space="preserve">calcular los gases de efecto </w:t>
      </w:r>
      <w:r w:rsidR="006515FA" w:rsidRPr="001A7D33">
        <w:rPr>
          <w:rFonts w:cs="Palatino-Roman"/>
          <w:lang w:val="es-ES"/>
        </w:rPr>
        <w:t>invernadero para cada categoría</w:t>
      </w:r>
      <w:r w:rsidRPr="001A7D33">
        <w:rPr>
          <w:rFonts w:cs="Palatino-Roman"/>
          <w:lang w:val="es-ES"/>
        </w:rPr>
        <w:t xml:space="preserve">. </w:t>
      </w:r>
    </w:p>
    <w:p w:rsidR="006206DB" w:rsidRPr="001A7D33" w:rsidRDefault="006515FA" w:rsidP="001A7D33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1A7D33">
        <w:rPr>
          <w:rFonts w:cs="Palatino-Roman"/>
          <w:lang w:val="es-ES"/>
        </w:rPr>
        <w:t>Supervisar la selección y/o desarrollo de factores de emisiones</w:t>
      </w:r>
      <w:r w:rsidR="008679E1" w:rsidRPr="001A7D33">
        <w:rPr>
          <w:rFonts w:cs="Palatino-Roman"/>
          <w:lang w:val="es-ES"/>
        </w:rPr>
        <w:t xml:space="preserve">. </w:t>
      </w:r>
    </w:p>
    <w:p w:rsidR="00FB5009" w:rsidRDefault="008679E1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1A7D33">
        <w:rPr>
          <w:rFonts w:cs="Palatino-Roman"/>
          <w:lang w:val="es-ES"/>
        </w:rPr>
        <w:t>Document</w:t>
      </w:r>
      <w:r w:rsidR="006515FA" w:rsidRPr="001A7D33">
        <w:rPr>
          <w:rFonts w:cs="Palatino-Roman"/>
          <w:lang w:val="es-ES"/>
        </w:rPr>
        <w:t>ar todas las metodologías y supuestos</w:t>
      </w:r>
      <w:r w:rsidRPr="00291CCD">
        <w:rPr>
          <w:rFonts w:cs="Palatino-Roman"/>
          <w:lang w:val="es-ES"/>
        </w:rPr>
        <w:t>.</w:t>
      </w:r>
    </w:p>
    <w:p w:rsidR="001A7D33" w:rsidRPr="00291CCD" w:rsidRDefault="001A7D33" w:rsidP="001A7D33">
      <w:pPr>
        <w:numPr>
          <w:ilvl w:val="0"/>
          <w:numId w:val="8"/>
        </w:numPr>
        <w:tabs>
          <w:tab w:val="clear" w:pos="81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>
        <w:rPr>
          <w:rFonts w:cs="Palatino-Roman"/>
          <w:lang w:val="es-ES"/>
        </w:rPr>
        <w:t xml:space="preserve">Completar la </w:t>
      </w:r>
      <w:r w:rsidR="007427F4">
        <w:rPr>
          <w:rFonts w:cs="Palatino-Roman"/>
          <w:lang w:val="es-ES"/>
        </w:rPr>
        <w:t>metodología</w:t>
      </w:r>
      <w:r>
        <w:rPr>
          <w:rFonts w:cs="Palatino-Roman"/>
          <w:lang w:val="es-ES"/>
        </w:rPr>
        <w:t xml:space="preserve"> por sector y la referencia detallando la calculación de emisiones GEI debido a combustibles </w:t>
      </w:r>
      <w:r w:rsidR="007427F4">
        <w:rPr>
          <w:rFonts w:cs="Palatino-Roman"/>
          <w:lang w:val="es-ES"/>
        </w:rPr>
        <w:t>fósiles</w:t>
      </w:r>
      <w:r>
        <w:rPr>
          <w:rFonts w:cs="Palatino-Roman"/>
          <w:lang w:val="es-ES"/>
        </w:rPr>
        <w:t xml:space="preserve"> en </w:t>
      </w:r>
      <w:r w:rsidR="007427F4">
        <w:rPr>
          <w:rFonts w:cs="Palatino-Roman"/>
          <w:lang w:val="es-ES"/>
        </w:rPr>
        <w:t xml:space="preserve">el sector energético </w:t>
      </w:r>
      <w:r>
        <w:rPr>
          <w:rFonts w:cs="Palatino-Roman"/>
          <w:lang w:val="es-ES"/>
        </w:rPr>
        <w:t>y comparar los resultados.</w:t>
      </w:r>
    </w:p>
    <w:p w:rsidR="00CD1224" w:rsidRPr="00291CCD" w:rsidRDefault="00CD1224" w:rsidP="00CD122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>
        <w:rPr>
          <w:rFonts w:cs="Palatino-Roman"/>
          <w:lang w:val="es-ES"/>
        </w:rPr>
        <w:t>En consulta con el coordinador QA/QC, a</w:t>
      </w:r>
      <w:r w:rsidRPr="00291CCD">
        <w:rPr>
          <w:rFonts w:cs="Palatino-Roman"/>
          <w:lang w:val="es-ES"/>
        </w:rPr>
        <w:t>cordar con el grupo</w:t>
      </w:r>
      <w:r>
        <w:rPr>
          <w:rFonts w:cs="Palatino-Roman"/>
          <w:lang w:val="es-ES"/>
        </w:rPr>
        <w:t xml:space="preserve"> </w:t>
      </w:r>
      <w:r w:rsidR="00D6160C">
        <w:rPr>
          <w:rFonts w:cs="Palatino-Roman"/>
          <w:lang w:val="es-ES"/>
        </w:rPr>
        <w:t>energético</w:t>
      </w:r>
      <w:r w:rsidRPr="00291CCD">
        <w:rPr>
          <w:rFonts w:cs="Palatino-Roman"/>
          <w:lang w:val="es-ES"/>
        </w:rPr>
        <w:t xml:space="preserve"> de trabajo del sector para revisar los cálculos y llevar a cabo un Control de Aseguramiento / Control de Calidad (QA/QC) inicial, consultar con el coordinador de QA/QC.</w:t>
      </w:r>
    </w:p>
    <w:p w:rsidR="00AD4C7B" w:rsidRPr="00291CCD" w:rsidRDefault="007F1953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QA</w:t>
      </w:r>
      <w:r w:rsidR="00F94833" w:rsidRPr="00291CCD">
        <w:rPr>
          <w:rFonts w:cs="Palatino-Roman"/>
          <w:lang w:val="es-ES"/>
        </w:rPr>
        <w:t xml:space="preserve"> inclu</w:t>
      </w:r>
      <w:r w:rsidR="00127355" w:rsidRPr="00291CCD">
        <w:rPr>
          <w:rFonts w:cs="Palatino-Roman"/>
          <w:lang w:val="es-ES"/>
        </w:rPr>
        <w:t xml:space="preserve">ye procedimientos de revisión llevados a cabo por personal no involucrado en el proceso de </w:t>
      </w:r>
      <w:r w:rsidR="00127355" w:rsidRPr="00291CCD">
        <w:rPr>
          <w:rFonts w:cs="Palatino-Roman"/>
          <w:lang w:val="es-ES"/>
        </w:rPr>
        <w:lastRenderedPageBreak/>
        <w:t xml:space="preserve">desarrollo de inventarios </w:t>
      </w:r>
      <w:r w:rsidRPr="00291CCD">
        <w:rPr>
          <w:rFonts w:cs="Palatino-Roman"/>
          <w:lang w:val="es-ES"/>
        </w:rPr>
        <w:t>(</w:t>
      </w:r>
      <w:r w:rsidR="00222285" w:rsidRPr="00291CCD">
        <w:rPr>
          <w:rFonts w:cs="Palatino-Roman"/>
          <w:lang w:val="es-ES"/>
        </w:rPr>
        <w:t>por ej., expertos no involucrados con el desarrollo de estimaciones, el público y otras agencias importantes</w:t>
      </w:r>
      <w:r w:rsidRPr="00291CCD">
        <w:rPr>
          <w:rFonts w:cs="Palatino-Roman"/>
          <w:lang w:val="es-ES"/>
        </w:rPr>
        <w:t xml:space="preserve">, </w:t>
      </w:r>
      <w:r w:rsidR="00222285" w:rsidRPr="00291CCD">
        <w:rPr>
          <w:rFonts w:cs="Palatino-Roman"/>
          <w:lang w:val="es-ES"/>
        </w:rPr>
        <w:t>organizaciones no gubernamentales</w:t>
      </w:r>
      <w:r w:rsidR="00FB5009" w:rsidRPr="00291CCD">
        <w:rPr>
          <w:rFonts w:cs="Palatino-Roman"/>
          <w:lang w:val="es-ES"/>
        </w:rPr>
        <w:t>, universi</w:t>
      </w:r>
      <w:r w:rsidR="00222285" w:rsidRPr="00291CCD">
        <w:rPr>
          <w:rFonts w:cs="Palatino-Roman"/>
          <w:lang w:val="es-ES"/>
        </w:rPr>
        <w:t>dades</w:t>
      </w:r>
      <w:r w:rsidR="00FB5009" w:rsidRPr="00291CCD">
        <w:rPr>
          <w:rFonts w:cs="Palatino-Roman"/>
          <w:lang w:val="es-ES"/>
        </w:rPr>
        <w:t>, etc.</w:t>
      </w:r>
      <w:r w:rsidRPr="00291CCD">
        <w:rPr>
          <w:rFonts w:cs="Palatino-Roman"/>
          <w:lang w:val="es-ES"/>
        </w:rPr>
        <w:t>).</w:t>
      </w:r>
    </w:p>
    <w:p w:rsidR="00AD4C7B" w:rsidRPr="00291CCD" w:rsidRDefault="007F1953" w:rsidP="00A07F6F">
      <w:pPr>
        <w:numPr>
          <w:ilvl w:val="1"/>
          <w:numId w:val="8"/>
        </w:numPr>
        <w:tabs>
          <w:tab w:val="clear" w:pos="2160"/>
          <w:tab w:val="num" w:pos="1440"/>
        </w:tabs>
        <w:autoSpaceDE w:val="0"/>
        <w:autoSpaceDN w:val="0"/>
        <w:adjustRightInd w:val="0"/>
        <w:spacing w:before="120" w:after="120" w:line="240" w:lineRule="exact"/>
        <w:ind w:left="144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QC</w:t>
      </w:r>
      <w:r w:rsidR="00F94833" w:rsidRPr="00291CCD">
        <w:rPr>
          <w:rFonts w:cs="Palatino-Roman"/>
          <w:lang w:val="es-ES"/>
        </w:rPr>
        <w:t xml:space="preserve"> inclu</w:t>
      </w:r>
      <w:r w:rsidR="00222285" w:rsidRPr="00291CCD">
        <w:rPr>
          <w:rFonts w:cs="Palatino-Roman"/>
          <w:lang w:val="es-ES"/>
        </w:rPr>
        <w:t>ye revisiones rutinarias implementadas por el equipo de desarrollo de inventarios para medir y controlar la calidad del inventario cuando este se prepara</w:t>
      </w:r>
      <w:r w:rsidRPr="00291CCD">
        <w:rPr>
          <w:rFonts w:cs="Palatino-Roman"/>
          <w:lang w:val="es-ES"/>
        </w:rPr>
        <w:t xml:space="preserve"> (</w:t>
      </w:r>
      <w:r w:rsidR="00222285" w:rsidRPr="00291CCD">
        <w:rPr>
          <w:rFonts w:cs="Palatino-Roman"/>
          <w:lang w:val="es-ES"/>
        </w:rPr>
        <w:t>por ej</w:t>
      </w:r>
      <w:r w:rsidRPr="00291CCD">
        <w:rPr>
          <w:rFonts w:cs="Palatino-Roman"/>
          <w:lang w:val="es-ES"/>
        </w:rPr>
        <w:t xml:space="preserve">., </w:t>
      </w:r>
      <w:r w:rsidR="00222285" w:rsidRPr="00291CCD">
        <w:rPr>
          <w:rFonts w:cs="Palatino-Roman"/>
          <w:lang w:val="es-ES"/>
        </w:rPr>
        <w:t xml:space="preserve">jefes del </w:t>
      </w:r>
      <w:r w:rsidRPr="00291CCD">
        <w:rPr>
          <w:rFonts w:cs="Palatino-Roman"/>
          <w:lang w:val="es-ES"/>
        </w:rPr>
        <w:t>sector</w:t>
      </w:r>
      <w:r w:rsidR="00F40058" w:rsidRPr="00291CCD">
        <w:rPr>
          <w:rFonts w:cs="Palatino-Roman"/>
          <w:lang w:val="es-ES"/>
        </w:rPr>
        <w:t>,</w:t>
      </w:r>
      <w:r w:rsidR="00FB5009" w:rsidRPr="00291CCD">
        <w:rPr>
          <w:rFonts w:cs="Palatino-Roman"/>
          <w:lang w:val="es-ES"/>
        </w:rPr>
        <w:t xml:space="preserve"> </w:t>
      </w:r>
      <w:r w:rsidR="00222285" w:rsidRPr="00291CCD">
        <w:rPr>
          <w:rFonts w:cs="Palatino-Roman"/>
          <w:lang w:val="es-ES"/>
        </w:rPr>
        <w:t>y expertos de soporte involucrados con el desarrollo de estimaciones</w:t>
      </w:r>
      <w:r w:rsidRPr="00291CCD">
        <w:rPr>
          <w:rFonts w:cs="Palatino-Roman"/>
          <w:lang w:val="es-ES"/>
        </w:rPr>
        <w:t xml:space="preserve">). </w:t>
      </w:r>
    </w:p>
    <w:p w:rsidR="00CD1224" w:rsidRPr="00291CCD" w:rsidRDefault="00CD1224" w:rsidP="00CD1224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Coordinar la respuesta a los comentarios recibidos de las revisiones de QA (externas) de las estimaciones de gases de efecto invernadero del </w:t>
      </w:r>
      <w:r>
        <w:rPr>
          <w:rFonts w:cs="Palatino-Roman"/>
          <w:lang w:val="es-ES"/>
        </w:rPr>
        <w:t>sector, y actualizar el inventario cuando sea necesario.</w:t>
      </w:r>
    </w:p>
    <w:p w:rsidR="008679E1" w:rsidRPr="00291CCD" w:rsidRDefault="008679E1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Revi</w:t>
      </w:r>
      <w:r w:rsidR="004856E2" w:rsidRPr="00291CCD">
        <w:rPr>
          <w:rFonts w:cs="Palatino-Roman"/>
          <w:lang w:val="es-ES"/>
        </w:rPr>
        <w:t xml:space="preserve">sar las estimaciones </w:t>
      </w:r>
      <w:r w:rsidR="00EC288F">
        <w:rPr>
          <w:rFonts w:cs="Palatino-Roman"/>
          <w:lang w:val="es-ES"/>
        </w:rPr>
        <w:t>energético</w:t>
      </w:r>
      <w:r w:rsidR="006206DB">
        <w:rPr>
          <w:rFonts w:cs="Palatino-Roman"/>
          <w:lang w:val="es-ES"/>
        </w:rPr>
        <w:t xml:space="preserve">s </w:t>
      </w:r>
      <w:r w:rsidR="004856E2" w:rsidRPr="00291CCD">
        <w:rPr>
          <w:rFonts w:cs="Palatino-Roman"/>
          <w:lang w:val="es-ES"/>
        </w:rPr>
        <w:t>finales de gases de efecto invernadero del</w:t>
      </w:r>
      <w:r w:rsidRPr="00291CCD">
        <w:rPr>
          <w:rFonts w:cs="Palatino-Roman"/>
          <w:lang w:val="es-ES"/>
        </w:rPr>
        <w:t xml:space="preserve"> sector </w:t>
      </w:r>
      <w:r w:rsidR="004856E2" w:rsidRPr="00291CCD">
        <w:rPr>
          <w:rFonts w:cs="Palatino-Roman"/>
          <w:lang w:val="es-ES"/>
        </w:rPr>
        <w:t>y la narrativa que describe los supuestos, las metodologías y los resultados</w:t>
      </w:r>
      <w:r w:rsidRPr="00291CCD">
        <w:rPr>
          <w:rFonts w:cs="Palatino-Roman"/>
          <w:lang w:val="es-ES"/>
        </w:rPr>
        <w:t>.</w:t>
      </w:r>
    </w:p>
    <w:p w:rsidR="0059150A" w:rsidRPr="00291CCD" w:rsidRDefault="005F3929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 xml:space="preserve">Supervisar el desarrollo del análisis de incertidumbre del </w:t>
      </w:r>
      <w:r w:rsidR="00756C7B" w:rsidRPr="00291CCD">
        <w:rPr>
          <w:rFonts w:cs="Palatino-Roman"/>
          <w:lang w:val="es-ES"/>
        </w:rPr>
        <w:t>s</w:t>
      </w:r>
      <w:r w:rsidR="008679E1" w:rsidRPr="00291CCD">
        <w:rPr>
          <w:rFonts w:cs="Palatino-Roman"/>
          <w:lang w:val="es-ES"/>
        </w:rPr>
        <w:t>ector</w:t>
      </w:r>
      <w:r w:rsidR="006206DB">
        <w:rPr>
          <w:rFonts w:cs="Palatino-Roman"/>
          <w:lang w:val="es-ES"/>
        </w:rPr>
        <w:t xml:space="preserve"> </w:t>
      </w:r>
      <w:r w:rsidR="00EC288F">
        <w:rPr>
          <w:rFonts w:cs="Palatino-Roman"/>
          <w:lang w:val="es-ES"/>
        </w:rPr>
        <w:t>energético</w:t>
      </w:r>
      <w:r w:rsidR="008679E1" w:rsidRPr="00291CCD">
        <w:rPr>
          <w:rFonts w:cs="Palatino-Roman"/>
          <w:lang w:val="es-ES"/>
        </w:rPr>
        <w:t>.</w:t>
      </w:r>
    </w:p>
    <w:p w:rsidR="00D56981" w:rsidRPr="00291CCD" w:rsidRDefault="00B93CDE" w:rsidP="00A07F6F">
      <w:pPr>
        <w:numPr>
          <w:ilvl w:val="0"/>
          <w:numId w:val="8"/>
        </w:numPr>
        <w:tabs>
          <w:tab w:val="num" w:pos="720"/>
        </w:tabs>
        <w:autoSpaceDE w:val="0"/>
        <w:autoSpaceDN w:val="0"/>
        <w:adjustRightInd w:val="0"/>
        <w:spacing w:before="120" w:after="120" w:line="240" w:lineRule="exact"/>
        <w:ind w:left="720"/>
        <w:jc w:val="both"/>
        <w:rPr>
          <w:rFonts w:cs="Palatino-Roman"/>
          <w:lang w:val="es-ES"/>
        </w:rPr>
      </w:pPr>
      <w:r w:rsidRPr="00291CCD">
        <w:rPr>
          <w:rFonts w:cs="Palatino-Roman"/>
          <w:lang w:val="es-ES"/>
        </w:rPr>
        <w:t>Identif</w:t>
      </w:r>
      <w:r w:rsidR="005F3929" w:rsidRPr="00291CCD">
        <w:rPr>
          <w:rFonts w:cs="Palatino-Roman"/>
          <w:lang w:val="es-ES"/>
        </w:rPr>
        <w:t>icar y documentar cualquier mejora necesaria para los posteriores inventarios en relación con los datos de actividades, factores de emisión, metodologías u otros componentes del desarrollo de estimaciones</w:t>
      </w:r>
      <w:r w:rsidRPr="00291CCD">
        <w:rPr>
          <w:rFonts w:cs="Palatino-Roman"/>
          <w:lang w:val="es-ES"/>
        </w:rPr>
        <w:t>.</w:t>
      </w:r>
    </w:p>
    <w:sectPr w:rsidR="00D56981" w:rsidRPr="00291CCD" w:rsidSect="007D6EB5">
      <w:headerReference w:type="default" r:id="rId19"/>
      <w:footerReference w:type="default" r:id="rId20"/>
      <w:pgSz w:w="12240" w:h="15840"/>
      <w:pgMar w:top="360" w:right="720" w:bottom="36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right w:val="thinThick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55" w:rsidRDefault="00432455" w:rsidP="00664A8D">
      <w:r>
        <w:separator/>
      </w:r>
    </w:p>
  </w:endnote>
  <w:endnote w:type="continuationSeparator" w:id="0">
    <w:p w:rsidR="00432455" w:rsidRDefault="00432455" w:rsidP="0066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E9" w:rsidRDefault="000602E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06840A" wp14:editId="61045197">
          <wp:simplePos x="0" y="0"/>
          <wp:positionH relativeFrom="column">
            <wp:posOffset>-85090</wp:posOffset>
          </wp:positionH>
          <wp:positionV relativeFrom="paragraph">
            <wp:posOffset>-371475</wp:posOffset>
          </wp:positionV>
          <wp:extent cx="7019925" cy="998855"/>
          <wp:effectExtent l="0" t="0" r="9525" b="0"/>
          <wp:wrapTight wrapText="bothSides">
            <wp:wrapPolygon edited="0">
              <wp:start x="0" y="0"/>
              <wp:lineTo x="0" y="21010"/>
              <wp:lineTo x="21571" y="21010"/>
              <wp:lineTo x="21571" y="0"/>
              <wp:lineTo x="0" y="0"/>
            </wp:wrapPolygon>
          </wp:wrapTight>
          <wp:docPr id="10" name="Picture 10" descr="C:\Users\27567\Desktop\Graphics\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7567\Desktop\Graphics\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55" w:rsidRDefault="00432455" w:rsidP="00664A8D">
      <w:r>
        <w:separator/>
      </w:r>
    </w:p>
  </w:footnote>
  <w:footnote w:type="continuationSeparator" w:id="0">
    <w:p w:rsidR="00432455" w:rsidRDefault="00432455" w:rsidP="00664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2E9" w:rsidRDefault="000602E9" w:rsidP="00664A8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" o:bullet="t">
        <v:imagedata r:id="rId1" o:title="msoA41F"/>
      </v:shape>
    </w:pict>
  </w:numPicBullet>
  <w:abstractNum w:abstractNumId="0">
    <w:nsid w:val="01B65C5C"/>
    <w:multiLevelType w:val="hybridMultilevel"/>
    <w:tmpl w:val="119E5C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2884"/>
    <w:multiLevelType w:val="hybridMultilevel"/>
    <w:tmpl w:val="0BF4FD68"/>
    <w:lvl w:ilvl="0" w:tplc="7B0E541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548DD4" w:themeColor="text2" w:themeTint="99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067D8C"/>
    <w:multiLevelType w:val="hybridMultilevel"/>
    <w:tmpl w:val="5DAE7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144EB"/>
    <w:multiLevelType w:val="hybridMultilevel"/>
    <w:tmpl w:val="39E8F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4D1F55"/>
    <w:multiLevelType w:val="hybridMultilevel"/>
    <w:tmpl w:val="64BA97CC"/>
    <w:lvl w:ilvl="0" w:tplc="69660DE0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F61D2D"/>
    <w:multiLevelType w:val="hybridMultilevel"/>
    <w:tmpl w:val="1B2851B2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F82016"/>
    <w:multiLevelType w:val="hybridMultilevel"/>
    <w:tmpl w:val="2A6CC292"/>
    <w:lvl w:ilvl="0" w:tplc="69660DE0">
      <w:start w:val="1"/>
      <w:numFmt w:val="bullet"/>
      <w:lvlText w:val="P"/>
      <w:lvlJc w:val="left"/>
      <w:pPr>
        <w:ind w:left="144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D926F1"/>
    <w:multiLevelType w:val="hybridMultilevel"/>
    <w:tmpl w:val="AA761B3C"/>
    <w:lvl w:ilvl="0" w:tplc="39E688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5C52ED"/>
    <w:multiLevelType w:val="hybridMultilevel"/>
    <w:tmpl w:val="3FF05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8C4EA7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91053"/>
    <w:multiLevelType w:val="hybridMultilevel"/>
    <w:tmpl w:val="CEC2A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2536A"/>
    <w:multiLevelType w:val="hybridMultilevel"/>
    <w:tmpl w:val="8D64A5C0"/>
    <w:lvl w:ilvl="0" w:tplc="08AA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65D65"/>
    <w:multiLevelType w:val="hybridMultilevel"/>
    <w:tmpl w:val="87AE9BEA"/>
    <w:lvl w:ilvl="0" w:tplc="69660DE0">
      <w:start w:val="1"/>
      <w:numFmt w:val="bullet"/>
      <w:lvlText w:val="P"/>
      <w:lvlJc w:val="left"/>
      <w:pPr>
        <w:ind w:left="72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 w:themeColor="text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3493F"/>
    <w:multiLevelType w:val="hybridMultilevel"/>
    <w:tmpl w:val="4DC4C498"/>
    <w:lvl w:ilvl="0" w:tplc="69660DE0">
      <w:start w:val="1"/>
      <w:numFmt w:val="bullet"/>
      <w:lvlText w:val="P"/>
      <w:lvlJc w:val="left"/>
      <w:pPr>
        <w:tabs>
          <w:tab w:val="num" w:pos="810"/>
        </w:tabs>
        <w:ind w:left="810" w:hanging="360"/>
      </w:pPr>
      <w:rPr>
        <w:rFonts w:ascii="Wingdings 2" w:hAnsi="Wingdings 2" w:hint="default"/>
        <w:b/>
        <w:i w:val="0"/>
        <w:caps w:val="0"/>
        <w:strike w:val="0"/>
        <w:dstrike w:val="0"/>
        <w:vanish w:val="0"/>
        <w:color w:val="1F497D"/>
        <w:vertAlign w:val="baseline"/>
      </w:rPr>
    </w:lvl>
    <w:lvl w:ilvl="1" w:tplc="BB32FF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4C4EA6C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3">
    <w:nsid w:val="6CE54B1C"/>
    <w:multiLevelType w:val="hybridMultilevel"/>
    <w:tmpl w:val="0F3CE2A2"/>
    <w:lvl w:ilvl="0" w:tplc="291C5B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A3D68"/>
    <w:multiLevelType w:val="hybridMultilevel"/>
    <w:tmpl w:val="F97A4FAA"/>
    <w:lvl w:ilvl="0" w:tplc="EE2A4BCC">
      <w:start w:val="1"/>
      <w:numFmt w:val="bullet"/>
      <w:lvlText w:val="P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32FF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EA6C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200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B6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470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2E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9C4F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3E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4"/>
  </w:num>
  <w:num w:numId="5">
    <w:abstractNumId w:val="1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11"/>
  </w:num>
  <w:num w:numId="13">
    <w:abstractNumId w:val="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80"/>
    <w:rsid w:val="0000787E"/>
    <w:rsid w:val="00013725"/>
    <w:rsid w:val="00031800"/>
    <w:rsid w:val="00033DA5"/>
    <w:rsid w:val="00034895"/>
    <w:rsid w:val="000349B4"/>
    <w:rsid w:val="00040E32"/>
    <w:rsid w:val="0005767E"/>
    <w:rsid w:val="000602E9"/>
    <w:rsid w:val="00064750"/>
    <w:rsid w:val="00071FA0"/>
    <w:rsid w:val="00095A59"/>
    <w:rsid w:val="000B6271"/>
    <w:rsid w:val="000C06A8"/>
    <w:rsid w:val="000D0995"/>
    <w:rsid w:val="000F0EBD"/>
    <w:rsid w:val="000F711E"/>
    <w:rsid w:val="000F775C"/>
    <w:rsid w:val="001060FE"/>
    <w:rsid w:val="001079DC"/>
    <w:rsid w:val="00127355"/>
    <w:rsid w:val="0013424D"/>
    <w:rsid w:val="0014594A"/>
    <w:rsid w:val="001472E2"/>
    <w:rsid w:val="001541F8"/>
    <w:rsid w:val="001557CB"/>
    <w:rsid w:val="00162F9B"/>
    <w:rsid w:val="00163C3B"/>
    <w:rsid w:val="0017043B"/>
    <w:rsid w:val="00172101"/>
    <w:rsid w:val="001729DF"/>
    <w:rsid w:val="00175473"/>
    <w:rsid w:val="00181CD4"/>
    <w:rsid w:val="00185BF0"/>
    <w:rsid w:val="00195307"/>
    <w:rsid w:val="001A6BC8"/>
    <w:rsid w:val="001A7D33"/>
    <w:rsid w:val="001B46AF"/>
    <w:rsid w:val="001C0DF0"/>
    <w:rsid w:val="001C2CD5"/>
    <w:rsid w:val="001D5BB3"/>
    <w:rsid w:val="001D5D85"/>
    <w:rsid w:val="001E0C47"/>
    <w:rsid w:val="001E10DF"/>
    <w:rsid w:val="001E44E9"/>
    <w:rsid w:val="001F564B"/>
    <w:rsid w:val="002107C6"/>
    <w:rsid w:val="0021319F"/>
    <w:rsid w:val="002149D2"/>
    <w:rsid w:val="00222285"/>
    <w:rsid w:val="00226E49"/>
    <w:rsid w:val="002402B0"/>
    <w:rsid w:val="00243FF5"/>
    <w:rsid w:val="00244846"/>
    <w:rsid w:val="00263891"/>
    <w:rsid w:val="00291CCD"/>
    <w:rsid w:val="002A3B58"/>
    <w:rsid w:val="002A6DD1"/>
    <w:rsid w:val="002B06D1"/>
    <w:rsid w:val="002C5B75"/>
    <w:rsid w:val="002D013D"/>
    <w:rsid w:val="002D6AE4"/>
    <w:rsid w:val="002E3C6A"/>
    <w:rsid w:val="002F2F04"/>
    <w:rsid w:val="002F4889"/>
    <w:rsid w:val="002F4A31"/>
    <w:rsid w:val="003339D2"/>
    <w:rsid w:val="00342959"/>
    <w:rsid w:val="00352D6B"/>
    <w:rsid w:val="0037080F"/>
    <w:rsid w:val="00375D59"/>
    <w:rsid w:val="003A6F38"/>
    <w:rsid w:val="003C02DB"/>
    <w:rsid w:val="003C40A4"/>
    <w:rsid w:val="003C713D"/>
    <w:rsid w:val="003D1F84"/>
    <w:rsid w:val="003D75FD"/>
    <w:rsid w:val="003F2B1A"/>
    <w:rsid w:val="003F371E"/>
    <w:rsid w:val="003F604B"/>
    <w:rsid w:val="00401E64"/>
    <w:rsid w:val="00402D38"/>
    <w:rsid w:val="00407C04"/>
    <w:rsid w:val="004101D0"/>
    <w:rsid w:val="004161A3"/>
    <w:rsid w:val="00426C07"/>
    <w:rsid w:val="00432455"/>
    <w:rsid w:val="00434066"/>
    <w:rsid w:val="004459C3"/>
    <w:rsid w:val="004674B9"/>
    <w:rsid w:val="00471638"/>
    <w:rsid w:val="00484979"/>
    <w:rsid w:val="004856E2"/>
    <w:rsid w:val="00495C70"/>
    <w:rsid w:val="00497A9D"/>
    <w:rsid w:val="004A5040"/>
    <w:rsid w:val="004B6B8C"/>
    <w:rsid w:val="004B7AEB"/>
    <w:rsid w:val="004C220B"/>
    <w:rsid w:val="004C5446"/>
    <w:rsid w:val="004E1E4E"/>
    <w:rsid w:val="004F11DC"/>
    <w:rsid w:val="004F3A23"/>
    <w:rsid w:val="004F6C4A"/>
    <w:rsid w:val="00507A13"/>
    <w:rsid w:val="00510A13"/>
    <w:rsid w:val="00523A73"/>
    <w:rsid w:val="00523D6E"/>
    <w:rsid w:val="00532924"/>
    <w:rsid w:val="00532A3D"/>
    <w:rsid w:val="005420C2"/>
    <w:rsid w:val="0054257C"/>
    <w:rsid w:val="005471BC"/>
    <w:rsid w:val="00552FC9"/>
    <w:rsid w:val="00554FAE"/>
    <w:rsid w:val="0056059C"/>
    <w:rsid w:val="00570250"/>
    <w:rsid w:val="0059150A"/>
    <w:rsid w:val="005975D8"/>
    <w:rsid w:val="005A75E2"/>
    <w:rsid w:val="005B2F76"/>
    <w:rsid w:val="005D29B3"/>
    <w:rsid w:val="005D7C31"/>
    <w:rsid w:val="005F3929"/>
    <w:rsid w:val="006044EB"/>
    <w:rsid w:val="00611D12"/>
    <w:rsid w:val="00616406"/>
    <w:rsid w:val="006206DB"/>
    <w:rsid w:val="00623135"/>
    <w:rsid w:val="00626394"/>
    <w:rsid w:val="006414C2"/>
    <w:rsid w:val="006515FA"/>
    <w:rsid w:val="00653C21"/>
    <w:rsid w:val="00664A8D"/>
    <w:rsid w:val="006751D8"/>
    <w:rsid w:val="006837B5"/>
    <w:rsid w:val="006B046E"/>
    <w:rsid w:val="006C4309"/>
    <w:rsid w:val="006C4389"/>
    <w:rsid w:val="006D63EE"/>
    <w:rsid w:val="006E43A1"/>
    <w:rsid w:val="006E5948"/>
    <w:rsid w:val="006F0B86"/>
    <w:rsid w:val="006F3F65"/>
    <w:rsid w:val="006F44F3"/>
    <w:rsid w:val="006F77E8"/>
    <w:rsid w:val="00701D9A"/>
    <w:rsid w:val="00704DDC"/>
    <w:rsid w:val="0071327A"/>
    <w:rsid w:val="00735382"/>
    <w:rsid w:val="00741474"/>
    <w:rsid w:val="007427F4"/>
    <w:rsid w:val="00756C7B"/>
    <w:rsid w:val="0076489B"/>
    <w:rsid w:val="00792CE8"/>
    <w:rsid w:val="007A4F43"/>
    <w:rsid w:val="007B0447"/>
    <w:rsid w:val="007C184F"/>
    <w:rsid w:val="007D6EB5"/>
    <w:rsid w:val="007E1FB6"/>
    <w:rsid w:val="007E48D5"/>
    <w:rsid w:val="007F1126"/>
    <w:rsid w:val="007F1953"/>
    <w:rsid w:val="007F2ACD"/>
    <w:rsid w:val="0080163D"/>
    <w:rsid w:val="00842680"/>
    <w:rsid w:val="00860957"/>
    <w:rsid w:val="00860F3F"/>
    <w:rsid w:val="008679E1"/>
    <w:rsid w:val="0087521A"/>
    <w:rsid w:val="008D2E71"/>
    <w:rsid w:val="008E070A"/>
    <w:rsid w:val="008F0268"/>
    <w:rsid w:val="008F53F6"/>
    <w:rsid w:val="00920174"/>
    <w:rsid w:val="009317DF"/>
    <w:rsid w:val="00967684"/>
    <w:rsid w:val="00971F6A"/>
    <w:rsid w:val="0097240E"/>
    <w:rsid w:val="00985987"/>
    <w:rsid w:val="009A5409"/>
    <w:rsid w:val="009B13CC"/>
    <w:rsid w:val="009B1AE8"/>
    <w:rsid w:val="009B1D9D"/>
    <w:rsid w:val="009B3D25"/>
    <w:rsid w:val="009D17F6"/>
    <w:rsid w:val="009D28CE"/>
    <w:rsid w:val="009D57A7"/>
    <w:rsid w:val="009D5FDE"/>
    <w:rsid w:val="00A07F6F"/>
    <w:rsid w:val="00A103D1"/>
    <w:rsid w:val="00A20F11"/>
    <w:rsid w:val="00A3198C"/>
    <w:rsid w:val="00A34C86"/>
    <w:rsid w:val="00A61E72"/>
    <w:rsid w:val="00A62C76"/>
    <w:rsid w:val="00A774F4"/>
    <w:rsid w:val="00A96E02"/>
    <w:rsid w:val="00AA153F"/>
    <w:rsid w:val="00AA7D04"/>
    <w:rsid w:val="00AB0091"/>
    <w:rsid w:val="00AB4D9D"/>
    <w:rsid w:val="00AC260D"/>
    <w:rsid w:val="00AD3DA9"/>
    <w:rsid w:val="00AD4C7B"/>
    <w:rsid w:val="00AF6A9C"/>
    <w:rsid w:val="00B002FD"/>
    <w:rsid w:val="00B22A54"/>
    <w:rsid w:val="00B30B11"/>
    <w:rsid w:val="00B31A50"/>
    <w:rsid w:val="00B34CF0"/>
    <w:rsid w:val="00B40A7A"/>
    <w:rsid w:val="00B5625F"/>
    <w:rsid w:val="00B566A3"/>
    <w:rsid w:val="00B64880"/>
    <w:rsid w:val="00B709D8"/>
    <w:rsid w:val="00B70D56"/>
    <w:rsid w:val="00B93CDE"/>
    <w:rsid w:val="00B96455"/>
    <w:rsid w:val="00BA2D18"/>
    <w:rsid w:val="00BA5A45"/>
    <w:rsid w:val="00BE2DF1"/>
    <w:rsid w:val="00BE4ACB"/>
    <w:rsid w:val="00BF754D"/>
    <w:rsid w:val="00C01D1D"/>
    <w:rsid w:val="00C033FC"/>
    <w:rsid w:val="00C22684"/>
    <w:rsid w:val="00C3454A"/>
    <w:rsid w:val="00C40F50"/>
    <w:rsid w:val="00C64F6D"/>
    <w:rsid w:val="00C66439"/>
    <w:rsid w:val="00C740C5"/>
    <w:rsid w:val="00C86425"/>
    <w:rsid w:val="00C8724D"/>
    <w:rsid w:val="00C87A8A"/>
    <w:rsid w:val="00C93AA0"/>
    <w:rsid w:val="00C93EEA"/>
    <w:rsid w:val="00C96178"/>
    <w:rsid w:val="00C97D67"/>
    <w:rsid w:val="00CA254E"/>
    <w:rsid w:val="00CA5794"/>
    <w:rsid w:val="00CB32B9"/>
    <w:rsid w:val="00CC7A58"/>
    <w:rsid w:val="00CD1224"/>
    <w:rsid w:val="00CE09AB"/>
    <w:rsid w:val="00CF33C6"/>
    <w:rsid w:val="00CF4716"/>
    <w:rsid w:val="00CF75ED"/>
    <w:rsid w:val="00D001EF"/>
    <w:rsid w:val="00D01B96"/>
    <w:rsid w:val="00D01DB7"/>
    <w:rsid w:val="00D02D1D"/>
    <w:rsid w:val="00D14E2F"/>
    <w:rsid w:val="00D26F33"/>
    <w:rsid w:val="00D328DD"/>
    <w:rsid w:val="00D367EA"/>
    <w:rsid w:val="00D417AA"/>
    <w:rsid w:val="00D41D78"/>
    <w:rsid w:val="00D4669E"/>
    <w:rsid w:val="00D56981"/>
    <w:rsid w:val="00D6160C"/>
    <w:rsid w:val="00D746A9"/>
    <w:rsid w:val="00D8062F"/>
    <w:rsid w:val="00DA1885"/>
    <w:rsid w:val="00DA1CB8"/>
    <w:rsid w:val="00DB5922"/>
    <w:rsid w:val="00DC5F3C"/>
    <w:rsid w:val="00DC7838"/>
    <w:rsid w:val="00DF7E02"/>
    <w:rsid w:val="00E04F6F"/>
    <w:rsid w:val="00E07E0B"/>
    <w:rsid w:val="00E1753E"/>
    <w:rsid w:val="00E20C26"/>
    <w:rsid w:val="00E31EB4"/>
    <w:rsid w:val="00E46B09"/>
    <w:rsid w:val="00E50EE1"/>
    <w:rsid w:val="00E51BA4"/>
    <w:rsid w:val="00E54638"/>
    <w:rsid w:val="00E600EE"/>
    <w:rsid w:val="00E66676"/>
    <w:rsid w:val="00E80AF8"/>
    <w:rsid w:val="00E82BCB"/>
    <w:rsid w:val="00E85C4D"/>
    <w:rsid w:val="00E874F7"/>
    <w:rsid w:val="00E903DB"/>
    <w:rsid w:val="00E9372F"/>
    <w:rsid w:val="00E95CE5"/>
    <w:rsid w:val="00EB5FB6"/>
    <w:rsid w:val="00EC288F"/>
    <w:rsid w:val="00EC3E14"/>
    <w:rsid w:val="00EC64DD"/>
    <w:rsid w:val="00EF6AF7"/>
    <w:rsid w:val="00F01D3D"/>
    <w:rsid w:val="00F05364"/>
    <w:rsid w:val="00F1546A"/>
    <w:rsid w:val="00F22C9E"/>
    <w:rsid w:val="00F40058"/>
    <w:rsid w:val="00F42E94"/>
    <w:rsid w:val="00F5601A"/>
    <w:rsid w:val="00F6263C"/>
    <w:rsid w:val="00F65476"/>
    <w:rsid w:val="00F75701"/>
    <w:rsid w:val="00F81EC1"/>
    <w:rsid w:val="00F8656A"/>
    <w:rsid w:val="00F94833"/>
    <w:rsid w:val="00FA0F66"/>
    <w:rsid w:val="00FA262A"/>
    <w:rsid w:val="00FB14A9"/>
    <w:rsid w:val="00FB5009"/>
    <w:rsid w:val="00FC17B6"/>
    <w:rsid w:val="00FC20AA"/>
    <w:rsid w:val="00FC5D99"/>
    <w:rsid w:val="00FD7DCD"/>
    <w:rsid w:val="00FE3E48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80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1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C5B75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B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48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8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8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C5B75"/>
    <w:rPr>
      <w:rFonts w:asciiTheme="majorHAnsi" w:eastAsiaTheme="majorEastAsia" w:hAnsiTheme="majorHAnsi" w:cstheme="majorBidi"/>
      <w:b/>
      <w:bCs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01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01D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8D"/>
  </w:style>
  <w:style w:type="paragraph" w:styleId="Footer">
    <w:name w:val="footer"/>
    <w:basedOn w:val="Normal"/>
    <w:link w:val="FooterChar"/>
    <w:uiPriority w:val="99"/>
    <w:unhideWhenUsed/>
    <w:rsid w:val="00664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A8D"/>
  </w:style>
  <w:style w:type="table" w:styleId="TableGrid">
    <w:name w:val="Table Grid"/>
    <w:basedOn w:val="TableNormal"/>
    <w:uiPriority w:val="59"/>
    <w:rsid w:val="0066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664A8D"/>
    <w:rPr>
      <w:b/>
      <w:bCs/>
      <w:smallCaps/>
      <w:spacing w:val="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8D"/>
    <w:rPr>
      <w:b/>
      <w:bCs/>
      <w:sz w:val="20"/>
      <w:szCs w:val="20"/>
    </w:rPr>
  </w:style>
  <w:style w:type="paragraph" w:styleId="NoSpacing">
    <w:name w:val="No Spacing"/>
    <w:uiPriority w:val="1"/>
    <w:qFormat/>
    <w:rsid w:val="00CF33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C5B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evision">
    <w:name w:val="Revision"/>
    <w:hidden/>
    <w:uiPriority w:val="99"/>
    <w:semiHidden/>
    <w:rsid w:val="001E0C4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B6B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unfccc.int/national_reports/non-annex_i_natcom/training_material/methodological_documents/items/349.php" TargetMode="External"/><Relationship Id="rId18" Type="http://schemas.openxmlformats.org/officeDocument/2006/relationships/hyperlink" Target="http://www.ipcc-nggip.iges.or.jp/public/2006gl/index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epa.gov/climatechange/EPAactivities/internationalpartnerships/capacity-building.html" TargetMode="External"/><Relationship Id="rId17" Type="http://schemas.openxmlformats.org/officeDocument/2006/relationships/hyperlink" Target="https://regions.ghgcapacitybuilding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a.gov/climatechange/EPAactivities/internationalpartnerships/capacity-building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unfccc.int/national_reports/non-annex_i_natcom/guidelines_and_user_manual/items/2607.php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pcc-nggip.iges.or.jp/public/2006gl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escription0 xmlns="ee0b6b02-2826-41be-a0c1-d843cf2fb8c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5661DA3CA6914385A72E3663CAFED6" ma:contentTypeVersion="2" ma:contentTypeDescription="Create a new document." ma:contentTypeScope="" ma:versionID="ed33f37fef01c2d45598326ab4eb3ebb">
  <xsd:schema xmlns:xsd="http://www.w3.org/2001/XMLSchema" xmlns:p="http://schemas.microsoft.com/office/2006/metadata/properties" xmlns:ns2="ee0b6b02-2826-41be-a0c1-d843cf2fb8c3" targetNamespace="http://schemas.microsoft.com/office/2006/metadata/properties" ma:root="true" ma:fieldsID="ec64f513da2d269f6c3dd0e8a1f8afd0" ns2:_="">
    <xsd:import namespace="ee0b6b02-2826-41be-a0c1-d843cf2fb8c3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0b6b02-2826-41be-a0c1-d843cf2fb8c3" elementFormDefault="qualified">
    <xsd:import namespace="http://schemas.microsoft.com/office/2006/documentManagement/type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DEE361-ABE9-4B5C-AB60-7A7D5D480442}"/>
</file>

<file path=customXml/itemProps2.xml><?xml version="1.0" encoding="utf-8"?>
<ds:datastoreItem xmlns:ds="http://schemas.openxmlformats.org/officeDocument/2006/customXml" ds:itemID="{B0CC3283-AF0F-4A9F-8B7C-EFB287F7D290}"/>
</file>

<file path=customXml/itemProps3.xml><?xml version="1.0" encoding="utf-8"?>
<ds:datastoreItem xmlns:ds="http://schemas.openxmlformats.org/officeDocument/2006/customXml" ds:itemID="{28230A9C-2435-49AC-97F2-4F672B23B2B2}"/>
</file>

<file path=customXml/itemProps4.xml><?xml version="1.0" encoding="utf-8"?>
<ds:datastoreItem xmlns:ds="http://schemas.openxmlformats.org/officeDocument/2006/customXml" ds:itemID="{C12606B3-5535-4D63-BFE6-F3B1C230F6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ICF International</Company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Pettit</dc:creator>
  <cp:lastModifiedBy>Andrew Pettit</cp:lastModifiedBy>
  <cp:revision>2</cp:revision>
  <cp:lastPrinted>2014-01-21T21:04:00Z</cp:lastPrinted>
  <dcterms:created xsi:type="dcterms:W3CDTF">2014-02-14T21:06:00Z</dcterms:created>
  <dcterms:modified xsi:type="dcterms:W3CDTF">2014-02-14T21:06:00Z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0x010100905661DA3CA6914385A72E3663CAFED6</vt:lpwstr>
  </property>
</Properties>
</file>